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87" w:rsidRPr="0095088D" w:rsidRDefault="0095088D" w:rsidP="0008773B">
      <w:pPr>
        <w:spacing w:after="0" w:line="264" w:lineRule="auto"/>
        <w:jc w:val="center"/>
        <w:rPr>
          <w:rFonts w:ascii="Arial" w:hAnsi="Arial" w:cs="Arial"/>
        </w:rPr>
      </w:pPr>
      <w:r w:rsidRPr="0095088D">
        <w:rPr>
          <w:rFonts w:ascii="Arial" w:hAnsi="Arial" w:cs="Arial"/>
        </w:rPr>
        <w:t>MECANISMO DE PARTICIPACIÓN CIUDADANA DEL CENTRO DE INVESTIGACIÓN Y ASISTENCIA EN TECNOLOGÍA Y DESEÑO DEL ESTADO DE JALISCO, A.C. (CIATEJ, A.C.)</w:t>
      </w:r>
    </w:p>
    <w:p w:rsidR="0095088D" w:rsidRPr="0095088D" w:rsidRDefault="0095088D" w:rsidP="0008773B">
      <w:pPr>
        <w:spacing w:after="0" w:line="264" w:lineRule="auto"/>
        <w:jc w:val="center"/>
        <w:rPr>
          <w:rFonts w:ascii="Arial" w:hAnsi="Arial" w:cs="Arial"/>
          <w:b/>
          <w:sz w:val="32"/>
        </w:rPr>
      </w:pPr>
      <w:r w:rsidRPr="0095088D">
        <w:rPr>
          <w:rFonts w:ascii="Arial" w:hAnsi="Arial" w:cs="Arial"/>
          <w:b/>
          <w:sz w:val="32"/>
        </w:rPr>
        <w:t>COMITÉ EXTERNO DE EVALUACIÓN</w:t>
      </w:r>
    </w:p>
    <w:p w:rsidR="0095088D" w:rsidRDefault="0095088D" w:rsidP="0008773B">
      <w:pPr>
        <w:spacing w:after="0" w:line="264" w:lineRule="auto"/>
        <w:jc w:val="center"/>
        <w:rPr>
          <w:rFonts w:ascii="Arial" w:hAnsi="Arial" w:cs="Arial"/>
          <w:b/>
          <w:sz w:val="32"/>
        </w:rPr>
      </w:pPr>
    </w:p>
    <w:p w:rsidR="000D5498" w:rsidRDefault="002F1D95" w:rsidP="0008773B">
      <w:pPr>
        <w:spacing w:after="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relación a los datos del Secretario Técnico del mecanismo de participación ciudadana, </w:t>
      </w:r>
      <w:r w:rsidR="000D5498">
        <w:rPr>
          <w:rFonts w:ascii="Arial" w:hAnsi="Arial" w:cs="Arial"/>
          <w:sz w:val="20"/>
        </w:rPr>
        <w:t xml:space="preserve">se informa que la Secretaría Técnica del Comité está a cargo de uno de sus miembros y es alternada anualmente, de acuerdo a con un proceso de insaculación interno; es decir que cada vez que sesiona el Comité hay un Secretario Técnico distinto, elegido por los miembros de dicho Comité. </w:t>
      </w:r>
    </w:p>
    <w:p w:rsidR="0008773B" w:rsidRPr="0095088D" w:rsidRDefault="0008773B" w:rsidP="0008773B">
      <w:pPr>
        <w:spacing w:after="0" w:line="264" w:lineRule="auto"/>
        <w:jc w:val="both"/>
        <w:rPr>
          <w:rFonts w:ascii="Arial" w:hAnsi="Arial" w:cs="Arial"/>
        </w:rPr>
      </w:pPr>
    </w:p>
    <w:p w:rsidR="0095088D" w:rsidRDefault="000D5498" w:rsidP="0008773B">
      <w:pPr>
        <w:spacing w:after="0" w:line="264" w:lineRule="auto"/>
        <w:jc w:val="both"/>
        <w:rPr>
          <w:rFonts w:ascii="Arial" w:hAnsi="Arial" w:cs="Arial"/>
          <w:sz w:val="20"/>
        </w:rPr>
      </w:pPr>
      <w:r w:rsidRPr="000D5498">
        <w:rPr>
          <w:rFonts w:ascii="Arial" w:hAnsi="Arial" w:cs="Arial"/>
          <w:sz w:val="20"/>
        </w:rPr>
        <w:t xml:space="preserve">Las funciones del Secretario Técnico, se encuentran definidas en los artículos 19 y 20 del Marco de Operación del Comité Externo de Evaluación del CIATEJ, A.C. </w:t>
      </w:r>
    </w:p>
    <w:p w:rsidR="0008773B" w:rsidRDefault="0008773B" w:rsidP="0008773B">
      <w:pPr>
        <w:spacing w:after="0" w:line="264" w:lineRule="auto"/>
        <w:jc w:val="both"/>
        <w:rPr>
          <w:rFonts w:ascii="Arial" w:hAnsi="Arial" w:cs="Arial"/>
          <w:sz w:val="20"/>
        </w:rPr>
      </w:pPr>
    </w:p>
    <w:p w:rsidR="0008773B" w:rsidRDefault="0008773B" w:rsidP="0008773B">
      <w:pPr>
        <w:spacing w:after="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Las reglas de organización del mecanismo de participación ciudadana, se encuentran establecidas en el Marco de Operación del Comité Externo de Evaluación del CIATEJ, A.C., mismas que contienen:</w:t>
      </w:r>
    </w:p>
    <w:p w:rsidR="0008773B" w:rsidRDefault="0008773B" w:rsidP="0008773B">
      <w:pPr>
        <w:spacing w:after="0" w:line="264" w:lineRule="auto"/>
        <w:jc w:val="both"/>
        <w:rPr>
          <w:rFonts w:ascii="Arial" w:hAnsi="Arial" w:cs="Arial"/>
          <w:sz w:val="20"/>
        </w:rPr>
      </w:pPr>
    </w:p>
    <w:p w:rsidR="0008773B" w:rsidRPr="0008773B" w:rsidRDefault="0008773B" w:rsidP="0008773B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0"/>
        </w:rPr>
      </w:pPr>
      <w:r w:rsidRPr="0008773B">
        <w:rPr>
          <w:rFonts w:ascii="Arial" w:hAnsi="Arial" w:cs="Arial"/>
          <w:sz w:val="20"/>
        </w:rPr>
        <w:t>Disposiciones Generales</w:t>
      </w:r>
    </w:p>
    <w:p w:rsidR="0008773B" w:rsidRPr="0008773B" w:rsidRDefault="0008773B" w:rsidP="0008773B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0"/>
        </w:rPr>
      </w:pPr>
      <w:r w:rsidRPr="0008773B">
        <w:rPr>
          <w:rFonts w:ascii="Arial" w:hAnsi="Arial" w:cs="Arial"/>
          <w:sz w:val="20"/>
        </w:rPr>
        <w:t>Integración</w:t>
      </w:r>
    </w:p>
    <w:p w:rsidR="0008773B" w:rsidRPr="0008773B" w:rsidRDefault="0008773B" w:rsidP="0008773B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0"/>
        </w:rPr>
      </w:pPr>
      <w:r w:rsidRPr="0008773B">
        <w:rPr>
          <w:rFonts w:ascii="Arial" w:hAnsi="Arial" w:cs="Arial"/>
          <w:sz w:val="20"/>
        </w:rPr>
        <w:t>Funciones</w:t>
      </w:r>
    </w:p>
    <w:p w:rsidR="0008773B" w:rsidRPr="0008773B" w:rsidRDefault="0008773B" w:rsidP="0008773B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0"/>
        </w:rPr>
      </w:pPr>
      <w:r w:rsidRPr="0008773B">
        <w:rPr>
          <w:rFonts w:ascii="Arial" w:hAnsi="Arial" w:cs="Arial"/>
          <w:sz w:val="20"/>
        </w:rPr>
        <w:t>Su operación</w:t>
      </w:r>
    </w:p>
    <w:p w:rsidR="0008773B" w:rsidRDefault="0008773B" w:rsidP="0008773B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0"/>
        </w:rPr>
      </w:pPr>
      <w:r w:rsidRPr="0008773B">
        <w:rPr>
          <w:rFonts w:ascii="Arial" w:hAnsi="Arial" w:cs="Arial"/>
          <w:sz w:val="20"/>
        </w:rPr>
        <w:t xml:space="preserve">Derechos y obligaciones de los miembros del Comité </w:t>
      </w:r>
    </w:p>
    <w:p w:rsidR="0008773B" w:rsidRDefault="0008773B" w:rsidP="0008773B">
      <w:pPr>
        <w:spacing w:after="0" w:line="264" w:lineRule="auto"/>
        <w:jc w:val="both"/>
        <w:rPr>
          <w:rFonts w:ascii="Arial" w:hAnsi="Arial" w:cs="Arial"/>
          <w:sz w:val="20"/>
        </w:rPr>
      </w:pPr>
    </w:p>
    <w:p w:rsidR="0008773B" w:rsidRPr="0008773B" w:rsidRDefault="0008773B" w:rsidP="0008773B">
      <w:pPr>
        <w:spacing w:after="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 Comité Externo de Evaluación no cuenta con </w:t>
      </w:r>
      <w:r w:rsidR="006A562C">
        <w:rPr>
          <w:rFonts w:ascii="Arial" w:hAnsi="Arial" w:cs="Arial"/>
          <w:sz w:val="20"/>
        </w:rPr>
        <w:t xml:space="preserve">programa de trabajo anual, pues no se realiza </w:t>
      </w:r>
      <w:r>
        <w:rPr>
          <w:rFonts w:ascii="Arial" w:hAnsi="Arial" w:cs="Arial"/>
          <w:sz w:val="20"/>
        </w:rPr>
        <w:t xml:space="preserve">calendarización de sesiones, toda vez que sesiona una vez al año, al inicio de cada ejercicio </w:t>
      </w:r>
      <w:r w:rsidR="006A562C">
        <w:rPr>
          <w:rFonts w:ascii="Arial" w:hAnsi="Arial" w:cs="Arial"/>
          <w:sz w:val="20"/>
        </w:rPr>
        <w:t xml:space="preserve">fiscal previo a que se lleve a cabo la primera sesión de Órgano de Gobierno del Centro. Se elabora </w:t>
      </w:r>
      <w:r w:rsidR="00B921A3">
        <w:rPr>
          <w:rFonts w:ascii="Arial" w:hAnsi="Arial" w:cs="Arial"/>
          <w:sz w:val="20"/>
        </w:rPr>
        <w:t>un informe anual que se presenta</w:t>
      </w:r>
      <w:bookmarkStart w:id="0" w:name="_GoBack"/>
      <w:bookmarkEnd w:id="0"/>
      <w:r w:rsidR="006A562C">
        <w:rPr>
          <w:rFonts w:ascii="Arial" w:hAnsi="Arial" w:cs="Arial"/>
          <w:sz w:val="20"/>
        </w:rPr>
        <w:t xml:space="preserve"> a dicho Órgano de Gobierno, en el que se relacionan los acuerdos tomados durante el año y, se emite una opinión sobre el desarrollo de las actividades sustantivas del Centro y sus productos, así como sus desviaciones, mencionando las causas y las medidas preventivas y/o correctivas, haciendo mención especial de las recomendaciones propuestas por el Comité. </w:t>
      </w:r>
    </w:p>
    <w:sectPr w:rsidR="0008773B" w:rsidRPr="000877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0232E"/>
    <w:multiLevelType w:val="hybridMultilevel"/>
    <w:tmpl w:val="8966B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8D"/>
    <w:rsid w:val="0008773B"/>
    <w:rsid w:val="000C6387"/>
    <w:rsid w:val="000D5498"/>
    <w:rsid w:val="002F1D95"/>
    <w:rsid w:val="006A562C"/>
    <w:rsid w:val="0095088D"/>
    <w:rsid w:val="00A56658"/>
    <w:rsid w:val="00B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7A12F-71E2-42E0-A40D-C0EAF431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Garcia Sanchez</dc:creator>
  <cp:keywords/>
  <dc:description/>
  <cp:lastModifiedBy>Marcela Garcia Sanchez</cp:lastModifiedBy>
  <cp:revision>3</cp:revision>
  <dcterms:created xsi:type="dcterms:W3CDTF">2017-08-23T16:20:00Z</dcterms:created>
  <dcterms:modified xsi:type="dcterms:W3CDTF">2017-09-29T14:47:00Z</dcterms:modified>
</cp:coreProperties>
</file>