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79739" w14:textId="77777777" w:rsidR="00E456E0" w:rsidRPr="00367125" w:rsidRDefault="00E456E0" w:rsidP="00367125">
      <w:pPr>
        <w:jc w:val="both"/>
        <w:rPr>
          <w:rFonts w:ascii="Arial Narrow" w:hAnsi="Arial Narrow"/>
          <w:b/>
          <w:bCs/>
          <w:color w:val="000000" w:themeColor="text1"/>
          <w:sz w:val="24"/>
          <w:szCs w:val="24"/>
        </w:rPr>
      </w:pPr>
    </w:p>
    <w:p w14:paraId="3F655A78" w14:textId="265BDC35" w:rsidR="00E456E0" w:rsidRDefault="00E456E0" w:rsidP="00367125">
      <w:pPr>
        <w:jc w:val="both"/>
        <w:rPr>
          <w:rFonts w:ascii="Nirmala UI" w:hAnsi="Nirmala UI" w:cs="Nirmala UI"/>
          <w:b/>
          <w:bCs/>
          <w:color w:val="000000" w:themeColor="text1"/>
          <w:sz w:val="24"/>
          <w:szCs w:val="24"/>
        </w:rPr>
      </w:pPr>
    </w:p>
    <w:p w14:paraId="2D1BB11A" w14:textId="1A65EFBD" w:rsidR="00347673" w:rsidRDefault="00347673" w:rsidP="00367125">
      <w:pPr>
        <w:jc w:val="both"/>
        <w:rPr>
          <w:rFonts w:ascii="Nirmala UI" w:hAnsi="Nirmala UI" w:cs="Nirmala UI"/>
          <w:b/>
          <w:bCs/>
          <w:color w:val="000000" w:themeColor="text1"/>
          <w:sz w:val="24"/>
          <w:szCs w:val="24"/>
        </w:rPr>
      </w:pPr>
    </w:p>
    <w:p w14:paraId="53AAEF77" w14:textId="77777777" w:rsidR="00347673" w:rsidRPr="00347673" w:rsidRDefault="00347673" w:rsidP="00367125">
      <w:pPr>
        <w:jc w:val="both"/>
        <w:rPr>
          <w:rFonts w:ascii="Nirmala UI" w:hAnsi="Nirmala UI" w:cs="Nirmala UI"/>
          <w:b/>
          <w:bCs/>
          <w:color w:val="000000" w:themeColor="text1"/>
          <w:sz w:val="24"/>
          <w:szCs w:val="24"/>
        </w:rPr>
      </w:pPr>
    </w:p>
    <w:p w14:paraId="0BE38AB0" w14:textId="09D09088" w:rsidR="00347673" w:rsidRDefault="00F214BF" w:rsidP="00367125">
      <w:pPr>
        <w:jc w:val="both"/>
        <w:rPr>
          <w:rFonts w:ascii="Nirmala UI" w:hAnsi="Nirmala UI" w:cs="Nirmala UI"/>
          <w:b/>
          <w:bCs/>
          <w:color w:val="000000" w:themeColor="text1"/>
          <w:sz w:val="28"/>
          <w:szCs w:val="28"/>
        </w:rPr>
      </w:pPr>
      <w:r w:rsidRPr="00347673">
        <w:rPr>
          <w:rFonts w:ascii="Nirmala UI" w:hAnsi="Nirmala UI" w:cs="Nirmala UI"/>
          <w:b/>
          <w:bCs/>
          <w:color w:val="000000" w:themeColor="text1"/>
          <w:sz w:val="28"/>
          <w:szCs w:val="28"/>
        </w:rPr>
        <w:t xml:space="preserve">Mecanismos de autoevaluación y mejora institucional. </w:t>
      </w:r>
    </w:p>
    <w:p w14:paraId="21455AB2" w14:textId="77777777" w:rsidR="00347673" w:rsidRPr="00347673" w:rsidRDefault="00347673" w:rsidP="00367125">
      <w:pPr>
        <w:jc w:val="both"/>
        <w:rPr>
          <w:rFonts w:ascii="Nirmala UI" w:hAnsi="Nirmala UI" w:cs="Nirmala UI"/>
          <w:b/>
          <w:bCs/>
          <w:color w:val="000000" w:themeColor="text1"/>
          <w:sz w:val="28"/>
          <w:szCs w:val="28"/>
        </w:rPr>
      </w:pPr>
    </w:p>
    <w:p w14:paraId="02DDFB1B" w14:textId="6374E465" w:rsidR="00347673" w:rsidRPr="00347673" w:rsidRDefault="00347673" w:rsidP="00347673">
      <w:pPr>
        <w:jc w:val="both"/>
        <w:rPr>
          <w:rFonts w:ascii="Nirmala UI" w:hAnsi="Nirmala UI" w:cs="Nirmala UI"/>
          <w:color w:val="000000" w:themeColor="text1"/>
          <w:sz w:val="24"/>
          <w:szCs w:val="24"/>
        </w:rPr>
      </w:pPr>
      <w:r w:rsidRPr="00347673">
        <w:rPr>
          <w:rFonts w:ascii="Nirmala UI" w:hAnsi="Nirmala UI" w:cs="Nirmala UI"/>
          <w:color w:val="000000" w:themeColor="text1"/>
          <w:sz w:val="24"/>
          <w:szCs w:val="24"/>
        </w:rPr>
        <w:t>El Centro de Investigación y Asistencia en Tecnología y Diseño del Estado de Jalisco, A.C. (CIATEJ), como Centro Público de Investigación adscrito a la Secretaría de Investigación, Humanidades, Ciencia y Tecnología (SECIHTI), está sujeto a un proceso permanente de evaluación y mejora continua.</w:t>
      </w:r>
    </w:p>
    <w:p w14:paraId="54BB7136" w14:textId="166ADFBE" w:rsidR="00347673" w:rsidRPr="00347673" w:rsidRDefault="00347673" w:rsidP="00347673">
      <w:pPr>
        <w:jc w:val="both"/>
        <w:rPr>
          <w:rFonts w:ascii="Nirmala UI" w:hAnsi="Nirmala UI" w:cs="Nirmala UI"/>
          <w:color w:val="000000" w:themeColor="text1"/>
          <w:sz w:val="24"/>
          <w:szCs w:val="24"/>
        </w:rPr>
      </w:pPr>
      <w:r w:rsidRPr="00347673">
        <w:rPr>
          <w:rFonts w:ascii="Nirmala UI" w:hAnsi="Nirmala UI" w:cs="Nirmala UI"/>
          <w:color w:val="000000" w:themeColor="text1"/>
          <w:sz w:val="24"/>
          <w:szCs w:val="24"/>
        </w:rPr>
        <w:t>En cumplimiento de su normativa interna, el CIATEJ es sometido anualmente a la evaluación de un comité externo, integrado por reconocidas y reconocidos académicos de instituciones de educación superior y centros de investigación nacionales. Dicho comité revisa los resultados institucionales, analiza el cumplimiento de metas y emite recomendaciones estratégicas para fortalecer las funciones sustantivas del Centro, como se observa en el dictamen más reciente emitido en abril de 2025 (Figura 1).</w:t>
      </w:r>
    </w:p>
    <w:p w14:paraId="7F4B1190" w14:textId="1D1648D4" w:rsidR="00867117" w:rsidRPr="00347673" w:rsidRDefault="00347673" w:rsidP="00367125">
      <w:pPr>
        <w:jc w:val="both"/>
        <w:rPr>
          <w:rFonts w:ascii="Nirmala UI" w:hAnsi="Nirmala UI" w:cs="Nirmala UI"/>
          <w:color w:val="000000" w:themeColor="text1"/>
          <w:sz w:val="24"/>
          <w:szCs w:val="24"/>
        </w:rPr>
      </w:pPr>
      <w:r w:rsidRPr="00347673">
        <w:rPr>
          <w:rFonts w:ascii="Nirmala UI" w:hAnsi="Nirmala UI" w:cs="Nirmala UI"/>
          <w:color w:val="000000" w:themeColor="text1"/>
          <w:sz w:val="24"/>
          <w:szCs w:val="24"/>
        </w:rPr>
        <w:t>De manera complementaria, el Consejo Directivo, órgano de gobierno y máxima instancia de decisión del CIATEJ, realiza una evaluación institucional integral en la que participan representantes de diversas dependencias de la administración pública federal. Este órgano revisa el desempeño general del Centro en materia de gestión, investigación, vinculación y formación de recursos humanos, conforme al último dictamen aprobado en junio de 2025.</w:t>
      </w:r>
      <w:r w:rsidR="00DB55B8" w:rsidRPr="00347673">
        <w:rPr>
          <w:rFonts w:ascii="Nirmala UI" w:hAnsi="Nirmala UI" w:cs="Nirmala UI"/>
          <w:color w:val="000000" w:themeColor="text1"/>
          <w:sz w:val="24"/>
          <w:szCs w:val="24"/>
        </w:rPr>
        <w:t>Figura 2</w:t>
      </w:r>
      <w:r>
        <w:rPr>
          <w:rFonts w:ascii="Nirmala UI" w:hAnsi="Nirmala UI" w:cs="Nirmala UI"/>
          <w:color w:val="000000" w:themeColor="text1"/>
          <w:sz w:val="24"/>
          <w:szCs w:val="24"/>
        </w:rPr>
        <w:t>.</w:t>
      </w:r>
      <w:r w:rsidR="00DB55B8" w:rsidRPr="00347673">
        <w:rPr>
          <w:rFonts w:ascii="Nirmala UI" w:hAnsi="Nirmala UI" w:cs="Nirmala UI"/>
          <w:color w:val="000000" w:themeColor="text1"/>
          <w:sz w:val="24"/>
          <w:szCs w:val="24"/>
        </w:rPr>
        <w:t xml:space="preserve"> </w:t>
      </w:r>
    </w:p>
    <w:p w14:paraId="22D18347" w14:textId="77777777" w:rsidR="00347673" w:rsidRDefault="00347673" w:rsidP="00367125">
      <w:pPr>
        <w:jc w:val="both"/>
        <w:rPr>
          <w:rFonts w:ascii="Nirmala UI" w:hAnsi="Nirmala UI" w:cs="Nirmala UI"/>
          <w:color w:val="000000" w:themeColor="text1"/>
          <w:sz w:val="24"/>
          <w:szCs w:val="24"/>
        </w:rPr>
      </w:pPr>
    </w:p>
    <w:p w14:paraId="2C114EF6" w14:textId="77777777" w:rsidR="00347673" w:rsidRDefault="00347673" w:rsidP="00367125">
      <w:pPr>
        <w:jc w:val="both"/>
        <w:rPr>
          <w:rFonts w:ascii="Nirmala UI" w:hAnsi="Nirmala UI" w:cs="Nirmala UI"/>
          <w:color w:val="000000" w:themeColor="text1"/>
          <w:sz w:val="24"/>
          <w:szCs w:val="24"/>
        </w:rPr>
      </w:pPr>
    </w:p>
    <w:p w14:paraId="6ECE03AF" w14:textId="77777777" w:rsidR="00347673" w:rsidRDefault="00347673" w:rsidP="00367125">
      <w:pPr>
        <w:jc w:val="both"/>
        <w:rPr>
          <w:rFonts w:ascii="Nirmala UI" w:hAnsi="Nirmala UI" w:cs="Nirmala UI"/>
          <w:color w:val="000000" w:themeColor="text1"/>
          <w:sz w:val="24"/>
          <w:szCs w:val="24"/>
        </w:rPr>
      </w:pPr>
    </w:p>
    <w:p w14:paraId="1C96198C" w14:textId="77777777" w:rsidR="00347673" w:rsidRDefault="00347673" w:rsidP="00367125">
      <w:pPr>
        <w:jc w:val="both"/>
        <w:rPr>
          <w:rFonts w:ascii="Nirmala UI" w:hAnsi="Nirmala UI" w:cs="Nirmala UI"/>
          <w:color w:val="000000" w:themeColor="text1"/>
          <w:sz w:val="24"/>
          <w:szCs w:val="24"/>
        </w:rPr>
      </w:pPr>
    </w:p>
    <w:p w14:paraId="6155B672" w14:textId="77777777" w:rsidR="00347673" w:rsidRDefault="00347673" w:rsidP="00367125">
      <w:pPr>
        <w:jc w:val="both"/>
        <w:rPr>
          <w:rFonts w:ascii="Nirmala UI" w:hAnsi="Nirmala UI" w:cs="Nirmala UI"/>
          <w:color w:val="000000" w:themeColor="text1"/>
          <w:sz w:val="24"/>
          <w:szCs w:val="24"/>
        </w:rPr>
      </w:pPr>
    </w:p>
    <w:p w14:paraId="65003DF0" w14:textId="77777777" w:rsidR="00347673" w:rsidRDefault="00347673" w:rsidP="00367125">
      <w:pPr>
        <w:jc w:val="both"/>
        <w:rPr>
          <w:rFonts w:ascii="Nirmala UI" w:hAnsi="Nirmala UI" w:cs="Nirmala UI"/>
          <w:color w:val="000000" w:themeColor="text1"/>
          <w:sz w:val="24"/>
          <w:szCs w:val="24"/>
        </w:rPr>
      </w:pPr>
    </w:p>
    <w:p w14:paraId="3A4D5617" w14:textId="77777777" w:rsidR="00347673" w:rsidRDefault="00347673" w:rsidP="00367125">
      <w:pPr>
        <w:jc w:val="both"/>
        <w:rPr>
          <w:rFonts w:ascii="Nirmala UI" w:hAnsi="Nirmala UI" w:cs="Nirmala UI"/>
          <w:color w:val="000000" w:themeColor="text1"/>
          <w:sz w:val="24"/>
          <w:szCs w:val="24"/>
        </w:rPr>
      </w:pPr>
    </w:p>
    <w:p w14:paraId="6627DEB2" w14:textId="77777777" w:rsidR="00347673" w:rsidRDefault="00347673" w:rsidP="00367125">
      <w:pPr>
        <w:jc w:val="both"/>
        <w:rPr>
          <w:rFonts w:ascii="Nirmala UI" w:hAnsi="Nirmala UI" w:cs="Nirmala UI"/>
          <w:color w:val="000000" w:themeColor="text1"/>
          <w:sz w:val="24"/>
          <w:szCs w:val="24"/>
        </w:rPr>
      </w:pPr>
    </w:p>
    <w:p w14:paraId="1D175C97" w14:textId="77777777" w:rsidR="00347673" w:rsidRDefault="00347673" w:rsidP="00367125">
      <w:pPr>
        <w:jc w:val="both"/>
        <w:rPr>
          <w:rFonts w:ascii="Nirmala UI" w:hAnsi="Nirmala UI" w:cs="Nirmala UI"/>
          <w:color w:val="000000" w:themeColor="text1"/>
          <w:sz w:val="24"/>
          <w:szCs w:val="24"/>
        </w:rPr>
      </w:pPr>
    </w:p>
    <w:p w14:paraId="6FEF4B72" w14:textId="77777777" w:rsidR="00347673" w:rsidRDefault="00347673" w:rsidP="00367125">
      <w:pPr>
        <w:jc w:val="both"/>
        <w:rPr>
          <w:rFonts w:ascii="Nirmala UI" w:hAnsi="Nirmala UI" w:cs="Nirmala UI"/>
          <w:color w:val="000000" w:themeColor="text1"/>
          <w:sz w:val="24"/>
          <w:szCs w:val="24"/>
        </w:rPr>
      </w:pPr>
    </w:p>
    <w:p w14:paraId="375C23C6" w14:textId="77777777" w:rsidR="00347673" w:rsidRDefault="00347673" w:rsidP="00367125">
      <w:pPr>
        <w:jc w:val="both"/>
        <w:rPr>
          <w:rFonts w:ascii="Nirmala UI" w:hAnsi="Nirmala UI" w:cs="Nirmala UI"/>
          <w:color w:val="000000" w:themeColor="text1"/>
          <w:sz w:val="24"/>
          <w:szCs w:val="24"/>
        </w:rPr>
      </w:pPr>
    </w:p>
    <w:p w14:paraId="268186FA" w14:textId="031B3FF1" w:rsidR="00867117" w:rsidRPr="00347673" w:rsidRDefault="00867117" w:rsidP="00367125">
      <w:pPr>
        <w:jc w:val="both"/>
        <w:rPr>
          <w:rFonts w:ascii="Nirmala UI" w:hAnsi="Nirmala UI" w:cs="Nirmala UI"/>
          <w:color w:val="000000" w:themeColor="text1"/>
          <w:sz w:val="24"/>
          <w:szCs w:val="24"/>
        </w:rPr>
      </w:pPr>
      <w:r w:rsidRPr="00347673">
        <w:rPr>
          <w:rFonts w:ascii="Nirmala UI" w:hAnsi="Nirmala UI" w:cs="Nirmala UI"/>
          <w:color w:val="000000" w:themeColor="text1"/>
          <w:sz w:val="24"/>
          <w:szCs w:val="24"/>
        </w:rPr>
        <w:t>Figura 1. Dictamen Comité evaluador externo.</w:t>
      </w:r>
    </w:p>
    <w:p w14:paraId="77123499" w14:textId="63CC31C7" w:rsidR="00867117" w:rsidRDefault="00867117" w:rsidP="00867117">
      <w:pPr>
        <w:pStyle w:val="NormalWeb"/>
      </w:pPr>
      <w:r>
        <w:rPr>
          <w:noProof/>
        </w:rPr>
        <w:drawing>
          <wp:anchor distT="0" distB="0" distL="114300" distR="114300" simplePos="0" relativeHeight="251660288" behindDoc="1" locked="0" layoutInCell="1" allowOverlap="1" wp14:anchorId="57D08F31" wp14:editId="558A2E2C">
            <wp:simplePos x="0" y="0"/>
            <wp:positionH relativeFrom="margin">
              <wp:posOffset>2887565</wp:posOffset>
            </wp:positionH>
            <wp:positionV relativeFrom="paragraph">
              <wp:posOffset>66675</wp:posOffset>
            </wp:positionV>
            <wp:extent cx="2862469" cy="384808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1052" cy="38596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219563" wp14:editId="4FF7EC61">
            <wp:extent cx="2767054" cy="38722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503" cy="3875658"/>
                    </a:xfrm>
                    <a:prstGeom prst="rect">
                      <a:avLst/>
                    </a:prstGeom>
                    <a:noFill/>
                    <a:ln>
                      <a:noFill/>
                    </a:ln>
                  </pic:spPr>
                </pic:pic>
              </a:graphicData>
            </a:graphic>
          </wp:inline>
        </w:drawing>
      </w:r>
      <w:r w:rsidRPr="00867117">
        <w:t xml:space="preserve"> </w:t>
      </w:r>
    </w:p>
    <w:p w14:paraId="476CE64F" w14:textId="38920965" w:rsidR="00867117" w:rsidRDefault="00347673" w:rsidP="00867117">
      <w:pPr>
        <w:pStyle w:val="NormalWeb"/>
      </w:pPr>
      <w:r>
        <w:rPr>
          <w:noProof/>
        </w:rPr>
        <w:drawing>
          <wp:anchor distT="0" distB="0" distL="114300" distR="114300" simplePos="0" relativeHeight="251661312" behindDoc="1" locked="0" layoutInCell="1" allowOverlap="1" wp14:anchorId="154DF0D6" wp14:editId="0DA86FC4">
            <wp:simplePos x="0" y="0"/>
            <wp:positionH relativeFrom="margin">
              <wp:posOffset>1778000</wp:posOffset>
            </wp:positionH>
            <wp:positionV relativeFrom="paragraph">
              <wp:posOffset>20320</wp:posOffset>
            </wp:positionV>
            <wp:extent cx="2568271" cy="2886075"/>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271"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CF5F7" w14:textId="7B2D520D" w:rsidR="00867117" w:rsidRDefault="00867117" w:rsidP="00867117">
      <w:pPr>
        <w:pStyle w:val="NormalWeb"/>
      </w:pPr>
    </w:p>
    <w:p w14:paraId="039C1E28" w14:textId="0BEA6DBE" w:rsidR="00867117" w:rsidRDefault="00867117" w:rsidP="00367125">
      <w:pPr>
        <w:jc w:val="both"/>
        <w:rPr>
          <w:rFonts w:ascii="Arial Narrow" w:hAnsi="Arial Narrow"/>
          <w:color w:val="000000" w:themeColor="text1"/>
          <w:sz w:val="24"/>
          <w:szCs w:val="24"/>
        </w:rPr>
      </w:pPr>
    </w:p>
    <w:p w14:paraId="1D7ED2F5" w14:textId="5315B0F2" w:rsidR="00867117" w:rsidRDefault="00867117" w:rsidP="00367125">
      <w:pPr>
        <w:jc w:val="both"/>
        <w:rPr>
          <w:rFonts w:ascii="Arial Narrow" w:hAnsi="Arial Narrow"/>
          <w:color w:val="000000" w:themeColor="text1"/>
          <w:sz w:val="24"/>
          <w:szCs w:val="24"/>
        </w:rPr>
      </w:pPr>
    </w:p>
    <w:p w14:paraId="192DE4F0" w14:textId="1130F4FE" w:rsidR="00867117" w:rsidRDefault="00867117" w:rsidP="00367125">
      <w:pPr>
        <w:jc w:val="both"/>
        <w:rPr>
          <w:rFonts w:ascii="Arial Narrow" w:hAnsi="Arial Narrow"/>
          <w:color w:val="000000" w:themeColor="text1"/>
          <w:sz w:val="24"/>
          <w:szCs w:val="24"/>
        </w:rPr>
      </w:pPr>
    </w:p>
    <w:p w14:paraId="4D68BF86" w14:textId="4F819084" w:rsidR="00867117" w:rsidRDefault="00867117" w:rsidP="00367125">
      <w:pPr>
        <w:jc w:val="both"/>
        <w:rPr>
          <w:rFonts w:ascii="Arial Narrow" w:hAnsi="Arial Narrow"/>
          <w:color w:val="000000" w:themeColor="text1"/>
          <w:sz w:val="24"/>
          <w:szCs w:val="24"/>
        </w:rPr>
      </w:pPr>
    </w:p>
    <w:p w14:paraId="7838DB23" w14:textId="383BD436" w:rsidR="00867117" w:rsidRDefault="00867117" w:rsidP="00367125">
      <w:pPr>
        <w:jc w:val="both"/>
        <w:rPr>
          <w:rFonts w:ascii="Arial Narrow" w:hAnsi="Arial Narrow"/>
          <w:color w:val="000000" w:themeColor="text1"/>
          <w:sz w:val="24"/>
          <w:szCs w:val="24"/>
        </w:rPr>
      </w:pPr>
    </w:p>
    <w:p w14:paraId="6A48F741" w14:textId="0C425813" w:rsidR="00867117" w:rsidRDefault="00867117" w:rsidP="00367125">
      <w:pPr>
        <w:jc w:val="both"/>
        <w:rPr>
          <w:rFonts w:ascii="Arial Narrow" w:hAnsi="Arial Narrow"/>
          <w:color w:val="000000" w:themeColor="text1"/>
          <w:sz w:val="24"/>
          <w:szCs w:val="24"/>
        </w:rPr>
      </w:pPr>
    </w:p>
    <w:p w14:paraId="6839941C" w14:textId="03F3F3C1" w:rsidR="00867117" w:rsidRDefault="00867117" w:rsidP="00367125">
      <w:pPr>
        <w:jc w:val="both"/>
        <w:rPr>
          <w:rFonts w:ascii="Arial Narrow" w:hAnsi="Arial Narrow"/>
          <w:color w:val="000000" w:themeColor="text1"/>
          <w:sz w:val="24"/>
          <w:szCs w:val="24"/>
        </w:rPr>
      </w:pPr>
    </w:p>
    <w:p w14:paraId="40DAF713" w14:textId="77777777" w:rsidR="00867117" w:rsidRDefault="00867117" w:rsidP="00367125">
      <w:pPr>
        <w:jc w:val="both"/>
        <w:rPr>
          <w:rFonts w:ascii="Arial Narrow" w:hAnsi="Arial Narrow"/>
          <w:color w:val="000000" w:themeColor="text1"/>
          <w:sz w:val="24"/>
          <w:szCs w:val="24"/>
        </w:rPr>
      </w:pPr>
    </w:p>
    <w:p w14:paraId="328724AF" w14:textId="05970B78" w:rsidR="00867117" w:rsidRDefault="00867117" w:rsidP="00367125">
      <w:pPr>
        <w:jc w:val="both"/>
        <w:rPr>
          <w:rFonts w:ascii="Arial Narrow" w:hAnsi="Arial Narrow"/>
          <w:color w:val="000000" w:themeColor="text1"/>
          <w:sz w:val="24"/>
          <w:szCs w:val="24"/>
        </w:rPr>
      </w:pPr>
    </w:p>
    <w:p w14:paraId="0E9FAF6C" w14:textId="77777777" w:rsidR="00867117" w:rsidRDefault="00867117" w:rsidP="00367125">
      <w:pPr>
        <w:jc w:val="both"/>
        <w:rPr>
          <w:rFonts w:ascii="Arial Narrow" w:hAnsi="Arial Narrow"/>
          <w:color w:val="000000" w:themeColor="text1"/>
          <w:sz w:val="24"/>
          <w:szCs w:val="24"/>
        </w:rPr>
      </w:pPr>
    </w:p>
    <w:p w14:paraId="150ED9D3" w14:textId="77777777" w:rsidR="00867117" w:rsidRDefault="00867117" w:rsidP="00367125">
      <w:pPr>
        <w:jc w:val="both"/>
        <w:rPr>
          <w:rFonts w:ascii="Arial Narrow" w:hAnsi="Arial Narrow"/>
          <w:color w:val="000000" w:themeColor="text1"/>
          <w:sz w:val="24"/>
          <w:szCs w:val="24"/>
        </w:rPr>
      </w:pPr>
    </w:p>
    <w:p w14:paraId="76F80ED8" w14:textId="409232B4" w:rsidR="00867117" w:rsidRDefault="00867117" w:rsidP="00367125">
      <w:pPr>
        <w:jc w:val="both"/>
        <w:rPr>
          <w:rFonts w:ascii="Arial Narrow" w:hAnsi="Arial Narrow"/>
          <w:color w:val="000000" w:themeColor="text1"/>
          <w:sz w:val="24"/>
          <w:szCs w:val="24"/>
        </w:rPr>
      </w:pPr>
    </w:p>
    <w:p w14:paraId="312AD934" w14:textId="71DBC869" w:rsidR="00867117" w:rsidRDefault="00867117" w:rsidP="00367125">
      <w:pPr>
        <w:jc w:val="both"/>
        <w:rPr>
          <w:rFonts w:ascii="Arial Narrow" w:hAnsi="Arial Narrow"/>
          <w:color w:val="000000" w:themeColor="text1"/>
          <w:sz w:val="24"/>
          <w:szCs w:val="24"/>
        </w:rPr>
      </w:pPr>
    </w:p>
    <w:p w14:paraId="21701F6F" w14:textId="77777777" w:rsidR="00867117" w:rsidRDefault="00867117" w:rsidP="00367125">
      <w:pPr>
        <w:jc w:val="both"/>
        <w:rPr>
          <w:rFonts w:ascii="Arial Narrow" w:hAnsi="Arial Narrow"/>
          <w:color w:val="000000" w:themeColor="text1"/>
          <w:sz w:val="24"/>
          <w:szCs w:val="24"/>
        </w:rPr>
      </w:pPr>
    </w:p>
    <w:p w14:paraId="1A1F0B88" w14:textId="2E8D9110" w:rsidR="00093AC1" w:rsidRPr="00347673" w:rsidRDefault="00093AC1" w:rsidP="00367125">
      <w:pPr>
        <w:jc w:val="both"/>
        <w:rPr>
          <w:rFonts w:ascii="Nirmala UI" w:hAnsi="Nirmala UI" w:cs="Nirmala UI"/>
          <w:color w:val="000000" w:themeColor="text1"/>
          <w:sz w:val="24"/>
          <w:szCs w:val="24"/>
        </w:rPr>
      </w:pPr>
      <w:r w:rsidRPr="00347673">
        <w:rPr>
          <w:rFonts w:ascii="Nirmala UI" w:hAnsi="Nirmala UI" w:cs="Nirmala UI"/>
          <w:color w:val="000000" w:themeColor="text1"/>
          <w:sz w:val="24"/>
          <w:szCs w:val="24"/>
        </w:rPr>
        <w:t xml:space="preserve">Figura 2. </w:t>
      </w:r>
      <w:r w:rsidR="00DB55B8" w:rsidRPr="00347673">
        <w:rPr>
          <w:rFonts w:ascii="Nirmala UI" w:hAnsi="Nirmala UI" w:cs="Nirmala UI"/>
          <w:color w:val="000000" w:themeColor="text1"/>
          <w:sz w:val="24"/>
          <w:szCs w:val="24"/>
        </w:rPr>
        <w:t xml:space="preserve"> Evaluación del CIATEJ (Consejo directivo) </w:t>
      </w:r>
    </w:p>
    <w:p w14:paraId="5788DDC6" w14:textId="34BD854D" w:rsidR="00093AC1" w:rsidRDefault="00093AC1" w:rsidP="00093AC1">
      <w:pPr>
        <w:pStyle w:val="NormalWeb"/>
      </w:pPr>
      <w:r>
        <w:rPr>
          <w:noProof/>
        </w:rPr>
        <w:drawing>
          <wp:anchor distT="0" distB="0" distL="114300" distR="114300" simplePos="0" relativeHeight="251662336" behindDoc="1" locked="0" layoutInCell="1" allowOverlap="1" wp14:anchorId="030E52BD" wp14:editId="1F5C90E3">
            <wp:simplePos x="0" y="0"/>
            <wp:positionH relativeFrom="margin">
              <wp:posOffset>3092450</wp:posOffset>
            </wp:positionH>
            <wp:positionV relativeFrom="paragraph">
              <wp:posOffset>88265</wp:posOffset>
            </wp:positionV>
            <wp:extent cx="2679065" cy="3244133"/>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065" cy="32441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733D6C" wp14:editId="1888959D">
            <wp:extent cx="2578100" cy="3191584"/>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1435" cy="3220472"/>
                    </a:xfrm>
                    <a:prstGeom prst="rect">
                      <a:avLst/>
                    </a:prstGeom>
                    <a:noFill/>
                    <a:ln>
                      <a:noFill/>
                    </a:ln>
                  </pic:spPr>
                </pic:pic>
              </a:graphicData>
            </a:graphic>
          </wp:inline>
        </w:drawing>
      </w:r>
      <w:r w:rsidRPr="00093AC1">
        <w:t xml:space="preserve"> </w:t>
      </w:r>
    </w:p>
    <w:p w14:paraId="364672B6" w14:textId="4A6EBB0B" w:rsidR="00093AC1" w:rsidRDefault="00347673" w:rsidP="00367125">
      <w:pPr>
        <w:jc w:val="both"/>
        <w:rPr>
          <w:rFonts w:ascii="Arial Narrow" w:hAnsi="Arial Narrow"/>
          <w:color w:val="000000" w:themeColor="text1"/>
          <w:sz w:val="24"/>
          <w:szCs w:val="24"/>
        </w:rPr>
      </w:pPr>
      <w:r>
        <w:rPr>
          <w:noProof/>
        </w:rPr>
        <w:drawing>
          <wp:anchor distT="0" distB="0" distL="114300" distR="114300" simplePos="0" relativeHeight="251663360" behindDoc="1" locked="0" layoutInCell="1" allowOverlap="1" wp14:anchorId="38B9EC23" wp14:editId="2126755B">
            <wp:simplePos x="0" y="0"/>
            <wp:positionH relativeFrom="margin">
              <wp:posOffset>1366520</wp:posOffset>
            </wp:positionH>
            <wp:positionV relativeFrom="paragraph">
              <wp:posOffset>11430</wp:posOffset>
            </wp:positionV>
            <wp:extent cx="3180521" cy="3617595"/>
            <wp:effectExtent l="0" t="0" r="127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521" cy="361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A34CB" w14:textId="77777777" w:rsidR="00093AC1" w:rsidRDefault="00093AC1" w:rsidP="00367125">
      <w:pPr>
        <w:jc w:val="both"/>
        <w:rPr>
          <w:rFonts w:ascii="Arial Narrow" w:hAnsi="Arial Narrow"/>
          <w:color w:val="000000" w:themeColor="text1"/>
          <w:sz w:val="24"/>
          <w:szCs w:val="24"/>
        </w:rPr>
      </w:pPr>
    </w:p>
    <w:p w14:paraId="3406E7BD" w14:textId="7F045522" w:rsidR="00093AC1" w:rsidRDefault="00093AC1" w:rsidP="00367125">
      <w:pPr>
        <w:jc w:val="both"/>
        <w:rPr>
          <w:rFonts w:ascii="Arial Narrow" w:hAnsi="Arial Narrow"/>
          <w:color w:val="000000" w:themeColor="text1"/>
          <w:sz w:val="24"/>
          <w:szCs w:val="24"/>
        </w:rPr>
      </w:pPr>
    </w:p>
    <w:p w14:paraId="5DA23D0E" w14:textId="53FDC19C" w:rsidR="00093AC1" w:rsidRDefault="00093AC1" w:rsidP="00367125">
      <w:pPr>
        <w:jc w:val="both"/>
        <w:rPr>
          <w:rFonts w:ascii="Arial Narrow" w:hAnsi="Arial Narrow"/>
          <w:color w:val="000000" w:themeColor="text1"/>
          <w:sz w:val="24"/>
          <w:szCs w:val="24"/>
        </w:rPr>
      </w:pPr>
    </w:p>
    <w:p w14:paraId="25B6295A" w14:textId="4CBB59BE" w:rsidR="00F214BF" w:rsidRDefault="00F214BF" w:rsidP="00367125">
      <w:pPr>
        <w:jc w:val="both"/>
        <w:rPr>
          <w:rFonts w:ascii="Arial Narrow" w:hAnsi="Arial Narrow"/>
          <w:color w:val="000000" w:themeColor="text1"/>
          <w:sz w:val="24"/>
          <w:szCs w:val="24"/>
        </w:rPr>
      </w:pPr>
    </w:p>
    <w:p w14:paraId="4FA4C32B" w14:textId="1731318E" w:rsidR="00093AC1" w:rsidRDefault="00093AC1" w:rsidP="00093AC1">
      <w:pPr>
        <w:pStyle w:val="NormalWeb"/>
      </w:pPr>
    </w:p>
    <w:p w14:paraId="3F6C89BD" w14:textId="2DC62615" w:rsidR="00093AC1" w:rsidRDefault="00093AC1" w:rsidP="00367125">
      <w:pPr>
        <w:jc w:val="both"/>
        <w:rPr>
          <w:rFonts w:ascii="Arial Narrow" w:hAnsi="Arial Narrow"/>
          <w:color w:val="000000" w:themeColor="text1"/>
          <w:sz w:val="24"/>
          <w:szCs w:val="24"/>
        </w:rPr>
      </w:pPr>
    </w:p>
    <w:p w14:paraId="39B49047" w14:textId="793A03BF" w:rsidR="00093AC1" w:rsidRDefault="00093AC1" w:rsidP="00367125">
      <w:pPr>
        <w:jc w:val="both"/>
        <w:rPr>
          <w:rFonts w:ascii="Arial Narrow" w:hAnsi="Arial Narrow"/>
          <w:color w:val="000000" w:themeColor="text1"/>
          <w:sz w:val="24"/>
          <w:szCs w:val="24"/>
        </w:rPr>
      </w:pPr>
    </w:p>
    <w:p w14:paraId="59A86519" w14:textId="77777777" w:rsidR="00093AC1" w:rsidRDefault="00093AC1" w:rsidP="00367125">
      <w:pPr>
        <w:jc w:val="both"/>
        <w:rPr>
          <w:rFonts w:ascii="Arial Narrow" w:hAnsi="Arial Narrow"/>
          <w:color w:val="000000" w:themeColor="text1"/>
          <w:sz w:val="24"/>
          <w:szCs w:val="24"/>
        </w:rPr>
      </w:pPr>
    </w:p>
    <w:p w14:paraId="7B16A2D1" w14:textId="109FEFB7" w:rsidR="00093AC1" w:rsidRDefault="00093AC1" w:rsidP="00367125">
      <w:pPr>
        <w:jc w:val="both"/>
        <w:rPr>
          <w:rFonts w:ascii="Arial Narrow" w:hAnsi="Arial Narrow"/>
          <w:color w:val="000000" w:themeColor="text1"/>
          <w:sz w:val="24"/>
          <w:szCs w:val="24"/>
        </w:rPr>
      </w:pPr>
    </w:p>
    <w:p w14:paraId="4324A8DC" w14:textId="54DE9545" w:rsidR="00093AC1" w:rsidRDefault="00093AC1" w:rsidP="00367125">
      <w:pPr>
        <w:jc w:val="both"/>
        <w:rPr>
          <w:rFonts w:ascii="Arial Narrow" w:hAnsi="Arial Narrow"/>
          <w:color w:val="000000" w:themeColor="text1"/>
          <w:sz w:val="24"/>
          <w:szCs w:val="24"/>
        </w:rPr>
      </w:pPr>
    </w:p>
    <w:p w14:paraId="698AA9A7" w14:textId="72A0E36E" w:rsidR="00093AC1" w:rsidRDefault="00093AC1" w:rsidP="00367125">
      <w:pPr>
        <w:jc w:val="both"/>
        <w:rPr>
          <w:rFonts w:ascii="Arial Narrow" w:hAnsi="Arial Narrow"/>
          <w:color w:val="000000" w:themeColor="text1"/>
          <w:sz w:val="24"/>
          <w:szCs w:val="24"/>
        </w:rPr>
      </w:pPr>
    </w:p>
    <w:p w14:paraId="6F94A68B" w14:textId="36E56A9C" w:rsidR="00093AC1" w:rsidRDefault="00093AC1" w:rsidP="00367125">
      <w:pPr>
        <w:jc w:val="both"/>
        <w:rPr>
          <w:rFonts w:ascii="Arial Narrow" w:hAnsi="Arial Narrow"/>
          <w:color w:val="000000" w:themeColor="text1"/>
          <w:sz w:val="24"/>
          <w:szCs w:val="24"/>
        </w:rPr>
      </w:pPr>
    </w:p>
    <w:p w14:paraId="303F3E00" w14:textId="36AA5EDC" w:rsidR="00093AC1" w:rsidRDefault="00093AC1" w:rsidP="00367125">
      <w:pPr>
        <w:jc w:val="both"/>
        <w:rPr>
          <w:rFonts w:ascii="Arial Narrow" w:hAnsi="Arial Narrow"/>
          <w:color w:val="000000" w:themeColor="text1"/>
          <w:sz w:val="24"/>
          <w:szCs w:val="24"/>
        </w:rPr>
      </w:pPr>
    </w:p>
    <w:p w14:paraId="64A0CF7D" w14:textId="66704869" w:rsidR="00DB55B8" w:rsidRDefault="00DB55B8" w:rsidP="00367125">
      <w:pPr>
        <w:jc w:val="both"/>
        <w:rPr>
          <w:rFonts w:ascii="Arial Narrow" w:hAnsi="Arial Narrow"/>
          <w:color w:val="000000" w:themeColor="text1"/>
          <w:sz w:val="24"/>
          <w:szCs w:val="24"/>
        </w:rPr>
      </w:pPr>
    </w:p>
    <w:p w14:paraId="6372D212" w14:textId="77777777" w:rsidR="00347673" w:rsidRPr="00347673" w:rsidRDefault="00347673" w:rsidP="00347673">
      <w:pPr>
        <w:jc w:val="both"/>
        <w:rPr>
          <w:rFonts w:ascii="Nirmala UI" w:hAnsi="Nirmala UI" w:cs="Nirmala UI"/>
          <w:color w:val="000000" w:themeColor="text1"/>
          <w:sz w:val="24"/>
          <w:szCs w:val="24"/>
        </w:rPr>
      </w:pPr>
      <w:r w:rsidRPr="00347673">
        <w:rPr>
          <w:rFonts w:ascii="Nirmala UI" w:hAnsi="Nirmala UI" w:cs="Nirmala UI"/>
          <w:color w:val="000000" w:themeColor="text1"/>
          <w:sz w:val="24"/>
          <w:szCs w:val="24"/>
        </w:rPr>
        <w:t>Asimismo, los programas de posgrado del CIATEJ cuentan con la certificación de calidad ISO 9001:2015, la cual respalda la eficiencia y trazabilidad de los procesos sustantivos del Centro, que comprenden:</w:t>
      </w:r>
    </w:p>
    <w:p w14:paraId="46F1D840" w14:textId="77777777" w:rsidR="00347673" w:rsidRPr="00347673" w:rsidRDefault="00347673" w:rsidP="00347673">
      <w:pPr>
        <w:jc w:val="both"/>
        <w:rPr>
          <w:rFonts w:ascii="Nirmala UI" w:hAnsi="Nirmala UI" w:cs="Nirmala UI"/>
          <w:color w:val="000000" w:themeColor="text1"/>
          <w:sz w:val="24"/>
          <w:szCs w:val="24"/>
        </w:rPr>
      </w:pPr>
      <w:r w:rsidRPr="00347673">
        <w:rPr>
          <w:rFonts w:ascii="Nirmala UI" w:hAnsi="Nirmala UI" w:cs="Nirmala UI"/>
          <w:color w:val="000000" w:themeColor="text1"/>
          <w:sz w:val="24"/>
          <w:szCs w:val="24"/>
        </w:rPr>
        <w:t>a) proyectos de investigación y desarrollo,</w:t>
      </w:r>
    </w:p>
    <w:p w14:paraId="4701F5AD" w14:textId="77777777" w:rsidR="00347673" w:rsidRPr="00347673" w:rsidRDefault="00347673" w:rsidP="00347673">
      <w:pPr>
        <w:jc w:val="both"/>
        <w:rPr>
          <w:rFonts w:ascii="Nirmala UI" w:hAnsi="Nirmala UI" w:cs="Nirmala UI"/>
          <w:color w:val="000000" w:themeColor="text1"/>
          <w:sz w:val="24"/>
          <w:szCs w:val="24"/>
        </w:rPr>
      </w:pPr>
      <w:r w:rsidRPr="00347673">
        <w:rPr>
          <w:rFonts w:ascii="Nirmala UI" w:hAnsi="Nirmala UI" w:cs="Nirmala UI"/>
          <w:color w:val="000000" w:themeColor="text1"/>
          <w:sz w:val="24"/>
          <w:szCs w:val="24"/>
        </w:rPr>
        <w:t>b) servicios tecnológicos, y</w:t>
      </w:r>
    </w:p>
    <w:p w14:paraId="38C90891" w14:textId="6C12EA7A" w:rsidR="00347673" w:rsidRPr="00347673" w:rsidRDefault="00347673" w:rsidP="00347673">
      <w:pPr>
        <w:jc w:val="both"/>
        <w:rPr>
          <w:rFonts w:ascii="Nirmala UI" w:hAnsi="Nirmala UI" w:cs="Nirmala UI"/>
          <w:color w:val="000000" w:themeColor="text1"/>
          <w:sz w:val="24"/>
          <w:szCs w:val="24"/>
        </w:rPr>
      </w:pPr>
      <w:r w:rsidRPr="00347673">
        <w:rPr>
          <w:rFonts w:ascii="Nirmala UI" w:hAnsi="Nirmala UI" w:cs="Nirmala UI"/>
          <w:color w:val="000000" w:themeColor="text1"/>
          <w:sz w:val="24"/>
          <w:szCs w:val="24"/>
        </w:rPr>
        <w:t>c) posgrado y gestión de estudiantes.</w:t>
      </w:r>
    </w:p>
    <w:p w14:paraId="608245F8" w14:textId="2CBA3FF6" w:rsidR="00DB55B8" w:rsidRPr="00347673" w:rsidRDefault="00347673" w:rsidP="00347673">
      <w:pPr>
        <w:jc w:val="both"/>
        <w:rPr>
          <w:rFonts w:ascii="Nirmala UI" w:hAnsi="Nirmala UI" w:cs="Nirmala UI"/>
          <w:color w:val="000000" w:themeColor="text1"/>
          <w:sz w:val="24"/>
          <w:szCs w:val="24"/>
        </w:rPr>
      </w:pPr>
      <w:r w:rsidRPr="00347673">
        <w:rPr>
          <w:rFonts w:ascii="Nirmala UI" w:hAnsi="Nirmala UI" w:cs="Nirmala UI"/>
          <w:color w:val="000000" w:themeColor="text1"/>
          <w:sz w:val="24"/>
          <w:szCs w:val="24"/>
        </w:rPr>
        <w:t>Particularmente, este último proceso reviste especial relevancia para los fines de evaluación académica, ya que garantiza la aplicación de procedimientos estandarizados y mecanismos de control que aseguran la calidad en la gestión del posgrado, como se muestra en la Figura 3.</w:t>
      </w:r>
    </w:p>
    <w:p w14:paraId="46D2F751" w14:textId="0DEC9A60" w:rsidR="00DB55B8" w:rsidRPr="00347673" w:rsidRDefault="00CB66C5" w:rsidP="00CB66C5">
      <w:pPr>
        <w:jc w:val="both"/>
        <w:rPr>
          <w:rFonts w:ascii="Nirmala UI" w:hAnsi="Nirmala UI" w:cs="Nirmala UI"/>
          <w:color w:val="000000" w:themeColor="text1"/>
          <w:sz w:val="24"/>
          <w:szCs w:val="24"/>
        </w:rPr>
      </w:pPr>
      <w:r w:rsidRPr="00347673">
        <w:rPr>
          <w:rFonts w:ascii="Nirmala UI" w:hAnsi="Nirmala UI" w:cs="Nirmala UI"/>
          <w:color w:val="000000" w:themeColor="text1"/>
          <w:sz w:val="24"/>
          <w:szCs w:val="24"/>
        </w:rPr>
        <w:t>Figura 3. Certificación ISO 9001: 2015 del CIATEJ</w:t>
      </w:r>
    </w:p>
    <w:p w14:paraId="50193EF5" w14:textId="17B82133" w:rsidR="00DB55B8" w:rsidRDefault="00347673" w:rsidP="00F214BF">
      <w:pPr>
        <w:spacing w:after="0" w:line="240" w:lineRule="auto"/>
        <w:jc w:val="center"/>
        <w:rPr>
          <w:rFonts w:ascii="Times New Roman" w:hAnsi="Times New Roman" w:cs="Times New Roman"/>
          <w:b/>
          <w:sz w:val="20"/>
          <w:szCs w:val="20"/>
        </w:rPr>
      </w:pPr>
      <w:r>
        <w:rPr>
          <w:noProof/>
        </w:rPr>
        <w:drawing>
          <wp:anchor distT="0" distB="0" distL="114300" distR="114300" simplePos="0" relativeHeight="251664384" behindDoc="1" locked="0" layoutInCell="1" allowOverlap="1" wp14:anchorId="2883B9F9" wp14:editId="666BC8AE">
            <wp:simplePos x="0" y="0"/>
            <wp:positionH relativeFrom="column">
              <wp:posOffset>1463040</wp:posOffset>
            </wp:positionH>
            <wp:positionV relativeFrom="paragraph">
              <wp:posOffset>125390</wp:posOffset>
            </wp:positionV>
            <wp:extent cx="3604895" cy="440203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5069" cy="44022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25FEB" w14:textId="074C5DD3" w:rsidR="00DB55B8" w:rsidRDefault="00DB55B8" w:rsidP="00F214BF">
      <w:pPr>
        <w:spacing w:after="0" w:line="240" w:lineRule="auto"/>
        <w:jc w:val="center"/>
        <w:rPr>
          <w:rFonts w:ascii="Times New Roman" w:hAnsi="Times New Roman" w:cs="Times New Roman"/>
          <w:b/>
          <w:sz w:val="20"/>
          <w:szCs w:val="20"/>
        </w:rPr>
      </w:pPr>
    </w:p>
    <w:p w14:paraId="50ADE41F" w14:textId="0C5DCB15" w:rsidR="00DB55B8" w:rsidRDefault="00DB55B8" w:rsidP="00F214BF">
      <w:pPr>
        <w:spacing w:after="0" w:line="240" w:lineRule="auto"/>
        <w:jc w:val="center"/>
        <w:rPr>
          <w:rFonts w:ascii="Times New Roman" w:hAnsi="Times New Roman" w:cs="Times New Roman"/>
          <w:b/>
          <w:sz w:val="20"/>
          <w:szCs w:val="20"/>
        </w:rPr>
      </w:pPr>
    </w:p>
    <w:p w14:paraId="62357AAE" w14:textId="3C7D9829" w:rsidR="00DB55B8" w:rsidRDefault="00DB55B8" w:rsidP="00F214BF">
      <w:pPr>
        <w:spacing w:after="0" w:line="240" w:lineRule="auto"/>
        <w:jc w:val="center"/>
        <w:rPr>
          <w:rFonts w:ascii="Times New Roman" w:hAnsi="Times New Roman" w:cs="Times New Roman"/>
          <w:b/>
          <w:sz w:val="20"/>
          <w:szCs w:val="20"/>
        </w:rPr>
      </w:pPr>
    </w:p>
    <w:p w14:paraId="5FA002AA" w14:textId="77777777" w:rsidR="00DB55B8" w:rsidRDefault="00DB55B8" w:rsidP="00F214BF">
      <w:pPr>
        <w:spacing w:after="0" w:line="240" w:lineRule="auto"/>
        <w:jc w:val="center"/>
        <w:rPr>
          <w:rFonts w:ascii="Times New Roman" w:hAnsi="Times New Roman" w:cs="Times New Roman"/>
          <w:b/>
          <w:sz w:val="20"/>
          <w:szCs w:val="20"/>
        </w:rPr>
      </w:pPr>
    </w:p>
    <w:p w14:paraId="5F409870" w14:textId="77777777" w:rsidR="00DB55B8" w:rsidRDefault="00DB55B8" w:rsidP="00F214BF">
      <w:pPr>
        <w:spacing w:after="0" w:line="240" w:lineRule="auto"/>
        <w:jc w:val="center"/>
        <w:rPr>
          <w:rFonts w:ascii="Times New Roman" w:hAnsi="Times New Roman" w:cs="Times New Roman"/>
          <w:b/>
          <w:sz w:val="20"/>
          <w:szCs w:val="20"/>
        </w:rPr>
      </w:pPr>
    </w:p>
    <w:p w14:paraId="401C1978" w14:textId="77777777" w:rsidR="00DB55B8" w:rsidRDefault="00DB55B8" w:rsidP="00F214BF">
      <w:pPr>
        <w:spacing w:after="0" w:line="240" w:lineRule="auto"/>
        <w:jc w:val="center"/>
        <w:rPr>
          <w:rFonts w:ascii="Times New Roman" w:hAnsi="Times New Roman" w:cs="Times New Roman"/>
          <w:b/>
          <w:sz w:val="20"/>
          <w:szCs w:val="20"/>
        </w:rPr>
      </w:pPr>
    </w:p>
    <w:p w14:paraId="44BE32A2" w14:textId="77777777" w:rsidR="00DB55B8" w:rsidRDefault="00DB55B8" w:rsidP="00F214BF">
      <w:pPr>
        <w:spacing w:after="0" w:line="240" w:lineRule="auto"/>
        <w:jc w:val="center"/>
        <w:rPr>
          <w:rFonts w:ascii="Times New Roman" w:hAnsi="Times New Roman" w:cs="Times New Roman"/>
          <w:b/>
          <w:sz w:val="20"/>
          <w:szCs w:val="20"/>
        </w:rPr>
      </w:pPr>
    </w:p>
    <w:p w14:paraId="2DC2AD0B" w14:textId="77777777" w:rsidR="00DB55B8" w:rsidRDefault="00DB55B8" w:rsidP="00F214BF">
      <w:pPr>
        <w:spacing w:after="0" w:line="240" w:lineRule="auto"/>
        <w:jc w:val="center"/>
        <w:rPr>
          <w:rFonts w:ascii="Times New Roman" w:hAnsi="Times New Roman" w:cs="Times New Roman"/>
          <w:b/>
          <w:sz w:val="20"/>
          <w:szCs w:val="20"/>
        </w:rPr>
      </w:pPr>
    </w:p>
    <w:p w14:paraId="4C884D55" w14:textId="77777777" w:rsidR="00DB55B8" w:rsidRDefault="00DB55B8" w:rsidP="00F214BF">
      <w:pPr>
        <w:spacing w:after="0" w:line="240" w:lineRule="auto"/>
        <w:jc w:val="center"/>
        <w:rPr>
          <w:rFonts w:ascii="Times New Roman" w:hAnsi="Times New Roman" w:cs="Times New Roman"/>
          <w:b/>
          <w:sz w:val="20"/>
          <w:szCs w:val="20"/>
        </w:rPr>
      </w:pPr>
    </w:p>
    <w:p w14:paraId="6D303982" w14:textId="77777777" w:rsidR="00DB55B8" w:rsidRDefault="00DB55B8" w:rsidP="00F214BF">
      <w:pPr>
        <w:spacing w:after="0" w:line="240" w:lineRule="auto"/>
        <w:jc w:val="center"/>
        <w:rPr>
          <w:rFonts w:ascii="Times New Roman" w:hAnsi="Times New Roman" w:cs="Times New Roman"/>
          <w:b/>
          <w:sz w:val="20"/>
          <w:szCs w:val="20"/>
        </w:rPr>
      </w:pPr>
    </w:p>
    <w:p w14:paraId="247F7950" w14:textId="77777777" w:rsidR="00DB55B8" w:rsidRDefault="00DB55B8" w:rsidP="00F214BF">
      <w:pPr>
        <w:spacing w:after="0" w:line="240" w:lineRule="auto"/>
        <w:jc w:val="center"/>
        <w:rPr>
          <w:rFonts w:ascii="Times New Roman" w:hAnsi="Times New Roman" w:cs="Times New Roman"/>
          <w:b/>
          <w:sz w:val="20"/>
          <w:szCs w:val="20"/>
        </w:rPr>
      </w:pPr>
    </w:p>
    <w:p w14:paraId="2BA10E68" w14:textId="77777777" w:rsidR="00DB55B8" w:rsidRDefault="00DB55B8" w:rsidP="00F214BF">
      <w:pPr>
        <w:spacing w:after="0" w:line="240" w:lineRule="auto"/>
        <w:jc w:val="center"/>
        <w:rPr>
          <w:rFonts w:ascii="Times New Roman" w:hAnsi="Times New Roman" w:cs="Times New Roman"/>
          <w:b/>
          <w:sz w:val="20"/>
          <w:szCs w:val="20"/>
        </w:rPr>
      </w:pPr>
    </w:p>
    <w:p w14:paraId="445E9D3B" w14:textId="77777777" w:rsidR="00DB55B8" w:rsidRDefault="00DB55B8" w:rsidP="00F214BF">
      <w:pPr>
        <w:spacing w:after="0" w:line="240" w:lineRule="auto"/>
        <w:jc w:val="center"/>
        <w:rPr>
          <w:rFonts w:ascii="Times New Roman" w:hAnsi="Times New Roman" w:cs="Times New Roman"/>
          <w:b/>
          <w:sz w:val="20"/>
          <w:szCs w:val="20"/>
        </w:rPr>
      </w:pPr>
    </w:p>
    <w:p w14:paraId="56AD12E0" w14:textId="77777777" w:rsidR="00DB55B8" w:rsidRDefault="00DB55B8" w:rsidP="00F214BF">
      <w:pPr>
        <w:spacing w:after="0" w:line="240" w:lineRule="auto"/>
        <w:jc w:val="center"/>
        <w:rPr>
          <w:rFonts w:ascii="Times New Roman" w:hAnsi="Times New Roman" w:cs="Times New Roman"/>
          <w:b/>
          <w:sz w:val="20"/>
          <w:szCs w:val="20"/>
        </w:rPr>
      </w:pPr>
    </w:p>
    <w:p w14:paraId="21FE0546" w14:textId="77777777" w:rsidR="00DB55B8" w:rsidRDefault="00DB55B8" w:rsidP="00F214BF">
      <w:pPr>
        <w:spacing w:after="0" w:line="240" w:lineRule="auto"/>
        <w:jc w:val="center"/>
        <w:rPr>
          <w:rFonts w:ascii="Times New Roman" w:hAnsi="Times New Roman" w:cs="Times New Roman"/>
          <w:b/>
          <w:sz w:val="20"/>
          <w:szCs w:val="20"/>
        </w:rPr>
      </w:pPr>
    </w:p>
    <w:p w14:paraId="65A93986" w14:textId="77777777" w:rsidR="00DB55B8" w:rsidRDefault="00DB55B8" w:rsidP="00F214BF">
      <w:pPr>
        <w:spacing w:after="0" w:line="240" w:lineRule="auto"/>
        <w:jc w:val="center"/>
        <w:rPr>
          <w:rFonts w:ascii="Times New Roman" w:hAnsi="Times New Roman" w:cs="Times New Roman"/>
          <w:b/>
          <w:sz w:val="20"/>
          <w:szCs w:val="20"/>
        </w:rPr>
      </w:pPr>
    </w:p>
    <w:p w14:paraId="24045878" w14:textId="77777777" w:rsidR="00DB55B8" w:rsidRDefault="00DB55B8" w:rsidP="00F214BF">
      <w:pPr>
        <w:spacing w:after="0" w:line="240" w:lineRule="auto"/>
        <w:jc w:val="center"/>
        <w:rPr>
          <w:rFonts w:ascii="Times New Roman" w:hAnsi="Times New Roman" w:cs="Times New Roman"/>
          <w:b/>
          <w:sz w:val="20"/>
          <w:szCs w:val="20"/>
        </w:rPr>
      </w:pPr>
    </w:p>
    <w:p w14:paraId="2B39450D" w14:textId="77777777" w:rsidR="00DB55B8" w:rsidRDefault="00DB55B8" w:rsidP="00F214BF">
      <w:pPr>
        <w:spacing w:after="0" w:line="240" w:lineRule="auto"/>
        <w:jc w:val="center"/>
        <w:rPr>
          <w:rFonts w:ascii="Times New Roman" w:hAnsi="Times New Roman" w:cs="Times New Roman"/>
          <w:b/>
          <w:sz w:val="20"/>
          <w:szCs w:val="20"/>
        </w:rPr>
      </w:pPr>
    </w:p>
    <w:p w14:paraId="5484B10D" w14:textId="77777777" w:rsidR="00DB55B8" w:rsidRDefault="00DB55B8" w:rsidP="00F214BF">
      <w:pPr>
        <w:spacing w:after="0" w:line="240" w:lineRule="auto"/>
        <w:jc w:val="center"/>
        <w:rPr>
          <w:rFonts w:ascii="Times New Roman" w:hAnsi="Times New Roman" w:cs="Times New Roman"/>
          <w:b/>
          <w:sz w:val="20"/>
          <w:szCs w:val="20"/>
        </w:rPr>
      </w:pPr>
    </w:p>
    <w:p w14:paraId="07B70C2C" w14:textId="77777777" w:rsidR="00DB55B8" w:rsidRDefault="00DB55B8" w:rsidP="00F214BF">
      <w:pPr>
        <w:spacing w:after="0" w:line="240" w:lineRule="auto"/>
        <w:jc w:val="center"/>
        <w:rPr>
          <w:rFonts w:ascii="Times New Roman" w:hAnsi="Times New Roman" w:cs="Times New Roman"/>
          <w:b/>
          <w:sz w:val="20"/>
          <w:szCs w:val="20"/>
        </w:rPr>
      </w:pPr>
    </w:p>
    <w:p w14:paraId="756CB050" w14:textId="77777777" w:rsidR="00DB55B8" w:rsidRDefault="00DB55B8" w:rsidP="00F214BF">
      <w:pPr>
        <w:spacing w:after="0" w:line="240" w:lineRule="auto"/>
        <w:jc w:val="center"/>
        <w:rPr>
          <w:rFonts w:ascii="Times New Roman" w:hAnsi="Times New Roman" w:cs="Times New Roman"/>
          <w:b/>
          <w:sz w:val="20"/>
          <w:szCs w:val="20"/>
        </w:rPr>
      </w:pPr>
    </w:p>
    <w:p w14:paraId="67C179C7" w14:textId="77777777" w:rsidR="00DB55B8" w:rsidRDefault="00DB55B8" w:rsidP="00F214BF">
      <w:pPr>
        <w:spacing w:after="0" w:line="240" w:lineRule="auto"/>
        <w:jc w:val="center"/>
        <w:rPr>
          <w:rFonts w:ascii="Times New Roman" w:hAnsi="Times New Roman" w:cs="Times New Roman"/>
          <w:b/>
          <w:sz w:val="20"/>
          <w:szCs w:val="20"/>
        </w:rPr>
      </w:pPr>
    </w:p>
    <w:p w14:paraId="6417FE5B" w14:textId="77777777" w:rsidR="00DB55B8" w:rsidRDefault="00DB55B8" w:rsidP="00F214BF">
      <w:pPr>
        <w:spacing w:after="0" w:line="240" w:lineRule="auto"/>
        <w:jc w:val="center"/>
        <w:rPr>
          <w:rFonts w:ascii="Times New Roman" w:hAnsi="Times New Roman" w:cs="Times New Roman"/>
          <w:b/>
          <w:sz w:val="20"/>
          <w:szCs w:val="20"/>
        </w:rPr>
      </w:pPr>
    </w:p>
    <w:p w14:paraId="361EEEDA" w14:textId="77777777" w:rsidR="00DB55B8" w:rsidRDefault="00DB55B8" w:rsidP="00F214BF">
      <w:pPr>
        <w:spacing w:after="0" w:line="240" w:lineRule="auto"/>
        <w:jc w:val="center"/>
        <w:rPr>
          <w:rFonts w:ascii="Times New Roman" w:hAnsi="Times New Roman" w:cs="Times New Roman"/>
          <w:b/>
          <w:sz w:val="20"/>
          <w:szCs w:val="20"/>
        </w:rPr>
      </w:pPr>
    </w:p>
    <w:p w14:paraId="1F5A9C37" w14:textId="77777777" w:rsidR="00DB55B8" w:rsidRDefault="00DB55B8" w:rsidP="00F214BF">
      <w:pPr>
        <w:spacing w:after="0" w:line="240" w:lineRule="auto"/>
        <w:jc w:val="center"/>
        <w:rPr>
          <w:rFonts w:ascii="Times New Roman" w:hAnsi="Times New Roman" w:cs="Times New Roman"/>
          <w:b/>
          <w:sz w:val="20"/>
          <w:szCs w:val="20"/>
        </w:rPr>
      </w:pPr>
    </w:p>
    <w:p w14:paraId="776E250A" w14:textId="77777777" w:rsidR="00DB55B8" w:rsidRDefault="00DB55B8" w:rsidP="00F214BF">
      <w:pPr>
        <w:spacing w:after="0" w:line="240" w:lineRule="auto"/>
        <w:jc w:val="center"/>
        <w:rPr>
          <w:rFonts w:ascii="Times New Roman" w:hAnsi="Times New Roman" w:cs="Times New Roman"/>
          <w:b/>
          <w:sz w:val="20"/>
          <w:szCs w:val="20"/>
        </w:rPr>
      </w:pPr>
    </w:p>
    <w:p w14:paraId="27E040AC" w14:textId="77777777" w:rsidR="00CB66C5" w:rsidRDefault="00CB66C5" w:rsidP="00F214BF">
      <w:pPr>
        <w:spacing w:after="0" w:line="240" w:lineRule="auto"/>
        <w:jc w:val="center"/>
        <w:rPr>
          <w:rFonts w:ascii="Times New Roman" w:hAnsi="Times New Roman" w:cs="Times New Roman"/>
          <w:b/>
          <w:sz w:val="20"/>
          <w:szCs w:val="20"/>
        </w:rPr>
      </w:pPr>
    </w:p>
    <w:p w14:paraId="4E8D6BDB" w14:textId="77777777" w:rsidR="00CB66C5" w:rsidRDefault="00CB66C5" w:rsidP="00F214BF">
      <w:pPr>
        <w:spacing w:after="0" w:line="240" w:lineRule="auto"/>
        <w:jc w:val="center"/>
        <w:rPr>
          <w:rFonts w:ascii="Times New Roman" w:hAnsi="Times New Roman" w:cs="Times New Roman"/>
          <w:b/>
          <w:sz w:val="20"/>
          <w:szCs w:val="20"/>
        </w:rPr>
      </w:pPr>
    </w:p>
    <w:p w14:paraId="31752602" w14:textId="77777777" w:rsidR="00CB66C5" w:rsidRDefault="00CB66C5" w:rsidP="00F214BF">
      <w:pPr>
        <w:spacing w:after="0" w:line="240" w:lineRule="auto"/>
        <w:jc w:val="center"/>
        <w:rPr>
          <w:rFonts w:ascii="Times New Roman" w:hAnsi="Times New Roman" w:cs="Times New Roman"/>
          <w:b/>
          <w:sz w:val="20"/>
          <w:szCs w:val="20"/>
        </w:rPr>
      </w:pPr>
    </w:p>
    <w:p w14:paraId="1E3492E2" w14:textId="77777777" w:rsidR="00347673" w:rsidRDefault="00347673" w:rsidP="00CB66C5">
      <w:pPr>
        <w:jc w:val="both"/>
        <w:rPr>
          <w:rFonts w:ascii="Nirmala UI" w:hAnsi="Nirmala UI" w:cs="Nirmala UI"/>
          <w:color w:val="000000" w:themeColor="text1"/>
          <w:sz w:val="24"/>
          <w:szCs w:val="24"/>
        </w:rPr>
      </w:pPr>
    </w:p>
    <w:p w14:paraId="5C9B2C4B" w14:textId="77777777" w:rsidR="00347673" w:rsidRDefault="00347673" w:rsidP="00CB66C5">
      <w:pPr>
        <w:jc w:val="both"/>
        <w:rPr>
          <w:rFonts w:ascii="Nirmala UI" w:hAnsi="Nirmala UI" w:cs="Nirmala UI"/>
          <w:color w:val="000000" w:themeColor="text1"/>
          <w:sz w:val="24"/>
          <w:szCs w:val="24"/>
        </w:rPr>
      </w:pPr>
    </w:p>
    <w:p w14:paraId="284FB7EE" w14:textId="77777777" w:rsidR="00347673" w:rsidRDefault="00347673" w:rsidP="00CB66C5">
      <w:pPr>
        <w:jc w:val="both"/>
        <w:rPr>
          <w:rFonts w:ascii="Nirmala UI" w:hAnsi="Nirmala UI" w:cs="Nirmala UI"/>
          <w:color w:val="000000" w:themeColor="text1"/>
          <w:sz w:val="24"/>
          <w:szCs w:val="24"/>
        </w:rPr>
      </w:pPr>
    </w:p>
    <w:p w14:paraId="3610E087" w14:textId="77777777" w:rsidR="00347673" w:rsidRDefault="00347673" w:rsidP="00CB66C5">
      <w:pPr>
        <w:jc w:val="both"/>
        <w:rPr>
          <w:rFonts w:ascii="Nirmala UI" w:hAnsi="Nirmala UI" w:cs="Nirmala UI"/>
          <w:color w:val="000000" w:themeColor="text1"/>
          <w:sz w:val="24"/>
          <w:szCs w:val="24"/>
        </w:rPr>
      </w:pPr>
    </w:p>
    <w:p w14:paraId="61475D3B" w14:textId="77777777" w:rsidR="00347673" w:rsidRDefault="00347673" w:rsidP="00347673">
      <w:pPr>
        <w:jc w:val="both"/>
        <w:rPr>
          <w:rFonts w:ascii="Nirmala UI" w:hAnsi="Nirmala UI" w:cs="Nirmala UI"/>
          <w:color w:val="000000" w:themeColor="text1"/>
          <w:sz w:val="24"/>
          <w:szCs w:val="24"/>
        </w:rPr>
      </w:pPr>
    </w:p>
    <w:p w14:paraId="72F802B0" w14:textId="64D52DB5" w:rsidR="00DB55B8" w:rsidRPr="00347673" w:rsidRDefault="00347673" w:rsidP="00347673">
      <w:pPr>
        <w:jc w:val="both"/>
        <w:rPr>
          <w:rFonts w:ascii="Arial Narrow" w:hAnsi="Arial Narrow"/>
          <w:color w:val="000000" w:themeColor="text1"/>
          <w:sz w:val="24"/>
          <w:szCs w:val="24"/>
        </w:rPr>
      </w:pPr>
      <w:r w:rsidRPr="00347673">
        <w:rPr>
          <w:rFonts w:ascii="Nirmala UI" w:hAnsi="Nirmala UI" w:cs="Nirmala UI"/>
          <w:color w:val="000000" w:themeColor="text1"/>
          <w:sz w:val="24"/>
          <w:szCs w:val="24"/>
        </w:rPr>
        <w:t>Con el propósito de fortalecer los procesos de autoevaluación institucional, durante 2025 el CIATEJ participa en la evaluación del Sistema de Evaluación y Acreditación de la Educación Superior (SEAES), impulsado por la Subsecretaría de Educación Superior. En este marco, se desarrolla de manera paralela un expediente de autoevaluación institucional, que integra evidencia documental, indicadores de desempeño y mecanismos de mejora continua, como se ilustra en la Figura 4.</w:t>
      </w:r>
    </w:p>
    <w:p w14:paraId="0CBC3BDC" w14:textId="723407B4" w:rsidR="00DB55B8" w:rsidRPr="00347673" w:rsidRDefault="00CB66C5" w:rsidP="00347673">
      <w:pPr>
        <w:spacing w:after="0" w:line="240" w:lineRule="auto"/>
        <w:jc w:val="center"/>
        <w:rPr>
          <w:rFonts w:ascii="Nirmala UI" w:hAnsi="Nirmala UI" w:cs="Nirmala UI"/>
          <w:bCs/>
          <w:sz w:val="24"/>
          <w:szCs w:val="24"/>
        </w:rPr>
      </w:pPr>
      <w:r w:rsidRPr="00347673">
        <w:rPr>
          <w:rFonts w:ascii="Nirmala UI" w:hAnsi="Nirmala UI" w:cs="Nirmala UI"/>
          <w:bCs/>
          <w:sz w:val="24"/>
          <w:szCs w:val="24"/>
        </w:rPr>
        <w:t>Figura 4. Oficio de intención de participación SEAES</w:t>
      </w:r>
    </w:p>
    <w:p w14:paraId="4006BA5D" w14:textId="106AF48A" w:rsidR="00DB55B8" w:rsidRPr="009711B7" w:rsidRDefault="00347673" w:rsidP="00F214BF">
      <w:pPr>
        <w:spacing w:after="0" w:line="240" w:lineRule="auto"/>
        <w:jc w:val="center"/>
        <w:rPr>
          <w:rFonts w:ascii="Times New Roman" w:hAnsi="Times New Roman" w:cs="Times New Roman"/>
          <w:b/>
          <w:sz w:val="20"/>
          <w:szCs w:val="20"/>
        </w:rPr>
      </w:pPr>
      <w:r>
        <w:rPr>
          <w:noProof/>
        </w:rPr>
        <w:drawing>
          <wp:anchor distT="0" distB="0" distL="114300" distR="114300" simplePos="0" relativeHeight="251666432" behindDoc="1" locked="0" layoutInCell="1" allowOverlap="1" wp14:anchorId="7B2D3DE4" wp14:editId="6EDCC419">
            <wp:simplePos x="0" y="0"/>
            <wp:positionH relativeFrom="margin">
              <wp:posOffset>1297562</wp:posOffset>
            </wp:positionH>
            <wp:positionV relativeFrom="paragraph">
              <wp:posOffset>116205</wp:posOffset>
            </wp:positionV>
            <wp:extent cx="4613653" cy="59912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7189" cy="599581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55B8" w:rsidRPr="009711B7">
      <w:head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55D87" w14:textId="77777777" w:rsidR="006E5AFC" w:rsidRDefault="006E5AFC" w:rsidP="00E456E0">
      <w:pPr>
        <w:spacing w:after="0" w:line="240" w:lineRule="auto"/>
      </w:pPr>
      <w:r>
        <w:separator/>
      </w:r>
    </w:p>
  </w:endnote>
  <w:endnote w:type="continuationSeparator" w:id="0">
    <w:p w14:paraId="601F424A" w14:textId="77777777" w:rsidR="006E5AFC" w:rsidRDefault="006E5AFC" w:rsidP="00E45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C0903" w14:textId="77777777" w:rsidR="006E5AFC" w:rsidRDefault="006E5AFC" w:rsidP="00E456E0">
      <w:pPr>
        <w:spacing w:after="0" w:line="240" w:lineRule="auto"/>
      </w:pPr>
      <w:r>
        <w:separator/>
      </w:r>
    </w:p>
  </w:footnote>
  <w:footnote w:type="continuationSeparator" w:id="0">
    <w:p w14:paraId="6B84D843" w14:textId="77777777" w:rsidR="006E5AFC" w:rsidRDefault="006E5AFC" w:rsidP="00E45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7F82" w14:textId="3C6E649E" w:rsidR="00E456E0" w:rsidRDefault="00E456E0">
    <w:pPr>
      <w:pStyle w:val="Encabezado"/>
    </w:pPr>
    <w:r>
      <w:rPr>
        <w:noProof/>
      </w:rPr>
      <w:drawing>
        <wp:anchor distT="0" distB="0" distL="114300" distR="114300" simplePos="0" relativeHeight="251659264" behindDoc="1" locked="0" layoutInCell="1" allowOverlap="1" wp14:anchorId="7216CD26" wp14:editId="77E0D0ED">
          <wp:simplePos x="0" y="0"/>
          <wp:positionH relativeFrom="column">
            <wp:posOffset>-1057275</wp:posOffset>
          </wp:positionH>
          <wp:positionV relativeFrom="paragraph">
            <wp:posOffset>-448310</wp:posOffset>
          </wp:positionV>
          <wp:extent cx="7800030" cy="10094156"/>
          <wp:effectExtent l="0" t="0" r="0" b="2540"/>
          <wp:wrapNone/>
          <wp:docPr id="8305423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42335"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800030" cy="100941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49B3"/>
    <w:multiLevelType w:val="multilevel"/>
    <w:tmpl w:val="486E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46AC4"/>
    <w:multiLevelType w:val="hybridMultilevel"/>
    <w:tmpl w:val="39F277BA"/>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9C61C06"/>
    <w:multiLevelType w:val="multilevel"/>
    <w:tmpl w:val="CEAA0B48"/>
    <w:lvl w:ilvl="0">
      <w:numFmt w:val="bullet"/>
      <w:lvlText w:val="•"/>
      <w:lvlJc w:val="left"/>
      <w:pPr>
        <w:tabs>
          <w:tab w:val="num" w:pos="720"/>
        </w:tabs>
        <w:ind w:left="720" w:hanging="360"/>
      </w:pPr>
      <w:rPr>
        <w:rFonts w:ascii="Arial Narrow" w:eastAsiaTheme="minorHAnsi" w:hAnsi="Arial Narrow" w:cstheme="minorBid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7D7E44"/>
    <w:multiLevelType w:val="multilevel"/>
    <w:tmpl w:val="B114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92EFC"/>
    <w:multiLevelType w:val="hybridMultilevel"/>
    <w:tmpl w:val="41D2A648"/>
    <w:lvl w:ilvl="0" w:tplc="3EDE5FAA">
      <w:numFmt w:val="bullet"/>
      <w:lvlText w:val="•"/>
      <w:lvlJc w:val="left"/>
      <w:pPr>
        <w:ind w:left="1080" w:hanging="360"/>
      </w:pPr>
      <w:rPr>
        <w:rFonts w:ascii="Arial Narrow" w:eastAsiaTheme="minorHAnsi" w:hAnsi="Arial Narrow" w:cstheme="minorBidi"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 w15:restartNumberingAfterBreak="0">
    <w:nsid w:val="0AF3505D"/>
    <w:multiLevelType w:val="multilevel"/>
    <w:tmpl w:val="90D6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B42D2"/>
    <w:multiLevelType w:val="multilevel"/>
    <w:tmpl w:val="6A0A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61059C"/>
    <w:multiLevelType w:val="multilevel"/>
    <w:tmpl w:val="D382AB68"/>
    <w:lvl w:ilvl="0">
      <w:numFmt w:val="bullet"/>
      <w:lvlText w:val="•"/>
      <w:lvlJc w:val="left"/>
      <w:pPr>
        <w:tabs>
          <w:tab w:val="num" w:pos="720"/>
        </w:tabs>
        <w:ind w:left="720" w:hanging="360"/>
      </w:pPr>
      <w:rPr>
        <w:rFonts w:ascii="Arial Narrow" w:eastAsiaTheme="minorHAnsi" w:hAnsi="Arial Narrow" w:cstheme="minorBid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0426E"/>
    <w:multiLevelType w:val="hybridMultilevel"/>
    <w:tmpl w:val="5D1C7A80"/>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1CBB67A8"/>
    <w:multiLevelType w:val="multilevel"/>
    <w:tmpl w:val="ED8E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A4D50"/>
    <w:multiLevelType w:val="hybridMultilevel"/>
    <w:tmpl w:val="7F24F9FE"/>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43670CB"/>
    <w:multiLevelType w:val="hybridMultilevel"/>
    <w:tmpl w:val="4396557C"/>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4DE09A3"/>
    <w:multiLevelType w:val="hybridMultilevel"/>
    <w:tmpl w:val="D73A5350"/>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92474B7"/>
    <w:multiLevelType w:val="multilevel"/>
    <w:tmpl w:val="C7F45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6D64FD"/>
    <w:multiLevelType w:val="multilevel"/>
    <w:tmpl w:val="381E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6C3F69"/>
    <w:multiLevelType w:val="multilevel"/>
    <w:tmpl w:val="9F02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27FE1"/>
    <w:multiLevelType w:val="multilevel"/>
    <w:tmpl w:val="6E40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B4153A"/>
    <w:multiLevelType w:val="hybridMultilevel"/>
    <w:tmpl w:val="115E9DE8"/>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349B4D74"/>
    <w:multiLevelType w:val="hybridMultilevel"/>
    <w:tmpl w:val="2A86DEDC"/>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387C1DF8"/>
    <w:multiLevelType w:val="hybridMultilevel"/>
    <w:tmpl w:val="EA2A0108"/>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38F138B4"/>
    <w:multiLevelType w:val="multilevel"/>
    <w:tmpl w:val="3ABCA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0952E8"/>
    <w:multiLevelType w:val="multilevel"/>
    <w:tmpl w:val="B6D8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6210B7"/>
    <w:multiLevelType w:val="multilevel"/>
    <w:tmpl w:val="CEAA0B48"/>
    <w:lvl w:ilvl="0">
      <w:numFmt w:val="bullet"/>
      <w:lvlText w:val="•"/>
      <w:lvlJc w:val="left"/>
      <w:pPr>
        <w:tabs>
          <w:tab w:val="num" w:pos="720"/>
        </w:tabs>
        <w:ind w:left="720" w:hanging="360"/>
      </w:pPr>
      <w:rPr>
        <w:rFonts w:ascii="Arial Narrow" w:eastAsiaTheme="minorHAnsi" w:hAnsi="Arial Narrow" w:cstheme="minorBid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FE7F33"/>
    <w:multiLevelType w:val="multilevel"/>
    <w:tmpl w:val="4306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D2B1E"/>
    <w:multiLevelType w:val="multilevel"/>
    <w:tmpl w:val="A08E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BE2F45"/>
    <w:multiLevelType w:val="hybridMultilevel"/>
    <w:tmpl w:val="443AB45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4A3357C4"/>
    <w:multiLevelType w:val="multilevel"/>
    <w:tmpl w:val="8F760E6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E3A5B64"/>
    <w:multiLevelType w:val="multilevel"/>
    <w:tmpl w:val="A02E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5B1E86"/>
    <w:multiLevelType w:val="hybridMultilevel"/>
    <w:tmpl w:val="7994ADCA"/>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683A4026"/>
    <w:multiLevelType w:val="multilevel"/>
    <w:tmpl w:val="5E22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A11D70"/>
    <w:multiLevelType w:val="multilevel"/>
    <w:tmpl w:val="05DC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82271C"/>
    <w:multiLevelType w:val="multilevel"/>
    <w:tmpl w:val="3D4C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331012"/>
    <w:multiLevelType w:val="hybridMultilevel"/>
    <w:tmpl w:val="47CE1850"/>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79B01AA2"/>
    <w:multiLevelType w:val="multilevel"/>
    <w:tmpl w:val="CD3A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863876"/>
    <w:multiLevelType w:val="hybridMultilevel"/>
    <w:tmpl w:val="65C48D9A"/>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7A9907F4"/>
    <w:multiLevelType w:val="hybridMultilevel"/>
    <w:tmpl w:val="95345934"/>
    <w:lvl w:ilvl="0" w:tplc="3EDE5FAA">
      <w:numFmt w:val="bullet"/>
      <w:lvlText w:val="•"/>
      <w:lvlJc w:val="left"/>
      <w:pPr>
        <w:ind w:left="720" w:hanging="360"/>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7F4B336A"/>
    <w:multiLevelType w:val="hybridMultilevel"/>
    <w:tmpl w:val="4A0AB4C8"/>
    <w:lvl w:ilvl="0" w:tplc="3EDE5FAA">
      <w:numFmt w:val="bullet"/>
      <w:lvlText w:val="•"/>
      <w:lvlJc w:val="left"/>
      <w:pPr>
        <w:ind w:left="1065" w:hanging="705"/>
      </w:pPr>
      <w:rPr>
        <w:rFonts w:ascii="Arial Narrow" w:eastAsiaTheme="minorHAnsi" w:hAnsi="Arial Narrow"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4"/>
  </w:num>
  <w:num w:numId="4">
    <w:abstractNumId w:val="21"/>
  </w:num>
  <w:num w:numId="5">
    <w:abstractNumId w:val="23"/>
  </w:num>
  <w:num w:numId="6">
    <w:abstractNumId w:val="3"/>
  </w:num>
  <w:num w:numId="7">
    <w:abstractNumId w:val="6"/>
  </w:num>
  <w:num w:numId="8">
    <w:abstractNumId w:val="5"/>
  </w:num>
  <w:num w:numId="9">
    <w:abstractNumId w:val="31"/>
  </w:num>
  <w:num w:numId="10">
    <w:abstractNumId w:val="0"/>
  </w:num>
  <w:num w:numId="11">
    <w:abstractNumId w:val="33"/>
  </w:num>
  <w:num w:numId="12">
    <w:abstractNumId w:val="29"/>
  </w:num>
  <w:num w:numId="13">
    <w:abstractNumId w:val="30"/>
  </w:num>
  <w:num w:numId="14">
    <w:abstractNumId w:val="16"/>
  </w:num>
  <w:num w:numId="15">
    <w:abstractNumId w:val="14"/>
  </w:num>
  <w:num w:numId="16">
    <w:abstractNumId w:val="27"/>
  </w:num>
  <w:num w:numId="17">
    <w:abstractNumId w:val="25"/>
  </w:num>
  <w:num w:numId="18">
    <w:abstractNumId w:val="10"/>
  </w:num>
  <w:num w:numId="19">
    <w:abstractNumId w:val="1"/>
  </w:num>
  <w:num w:numId="20">
    <w:abstractNumId w:val="8"/>
  </w:num>
  <w:num w:numId="21">
    <w:abstractNumId w:val="34"/>
  </w:num>
  <w:num w:numId="22">
    <w:abstractNumId w:val="18"/>
  </w:num>
  <w:num w:numId="23">
    <w:abstractNumId w:val="28"/>
  </w:num>
  <w:num w:numId="24">
    <w:abstractNumId w:val="19"/>
  </w:num>
  <w:num w:numId="25">
    <w:abstractNumId w:val="32"/>
  </w:num>
  <w:num w:numId="26">
    <w:abstractNumId w:val="13"/>
  </w:num>
  <w:num w:numId="27">
    <w:abstractNumId w:val="17"/>
  </w:num>
  <w:num w:numId="28">
    <w:abstractNumId w:val="20"/>
  </w:num>
  <w:num w:numId="29">
    <w:abstractNumId w:val="2"/>
  </w:num>
  <w:num w:numId="30">
    <w:abstractNumId w:val="22"/>
  </w:num>
  <w:num w:numId="31">
    <w:abstractNumId w:val="35"/>
  </w:num>
  <w:num w:numId="32">
    <w:abstractNumId w:val="12"/>
  </w:num>
  <w:num w:numId="33">
    <w:abstractNumId w:val="7"/>
  </w:num>
  <w:num w:numId="34">
    <w:abstractNumId w:val="4"/>
  </w:num>
  <w:num w:numId="35">
    <w:abstractNumId w:val="36"/>
  </w:num>
  <w:num w:numId="36">
    <w:abstractNumId w:val="11"/>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6E0"/>
    <w:rsid w:val="00080124"/>
    <w:rsid w:val="00093AC1"/>
    <w:rsid w:val="000E65F2"/>
    <w:rsid w:val="00347673"/>
    <w:rsid w:val="00352859"/>
    <w:rsid w:val="00367125"/>
    <w:rsid w:val="00370A46"/>
    <w:rsid w:val="004F64A5"/>
    <w:rsid w:val="00591D86"/>
    <w:rsid w:val="00665A6F"/>
    <w:rsid w:val="00684ECB"/>
    <w:rsid w:val="00690071"/>
    <w:rsid w:val="006E5AFC"/>
    <w:rsid w:val="00770433"/>
    <w:rsid w:val="007E35FC"/>
    <w:rsid w:val="00867117"/>
    <w:rsid w:val="00916BE0"/>
    <w:rsid w:val="00C328C9"/>
    <w:rsid w:val="00CB66C5"/>
    <w:rsid w:val="00CF73A1"/>
    <w:rsid w:val="00DA1532"/>
    <w:rsid w:val="00DB55B8"/>
    <w:rsid w:val="00E456E0"/>
    <w:rsid w:val="00E87451"/>
    <w:rsid w:val="00ED6A55"/>
    <w:rsid w:val="00F214BF"/>
    <w:rsid w:val="00F33197"/>
    <w:rsid w:val="00FA57B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641516"/>
  <w15:chartTrackingRefBased/>
  <w15:docId w15:val="{E59D5994-E458-44CB-AD36-DEB56F65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6E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456E0"/>
  </w:style>
  <w:style w:type="paragraph" w:styleId="Piedepgina">
    <w:name w:val="footer"/>
    <w:basedOn w:val="Normal"/>
    <w:link w:val="PiedepginaCar"/>
    <w:uiPriority w:val="99"/>
    <w:unhideWhenUsed/>
    <w:rsid w:val="00E456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56E0"/>
  </w:style>
  <w:style w:type="paragraph" w:styleId="Prrafodelista">
    <w:name w:val="List Paragraph"/>
    <w:basedOn w:val="Normal"/>
    <w:uiPriority w:val="34"/>
    <w:qFormat/>
    <w:rsid w:val="00770433"/>
    <w:pPr>
      <w:ind w:left="720"/>
      <w:contextualSpacing/>
    </w:pPr>
  </w:style>
  <w:style w:type="character" w:styleId="Hipervnculo">
    <w:name w:val="Hyperlink"/>
    <w:basedOn w:val="Fuentedeprrafopredeter"/>
    <w:uiPriority w:val="99"/>
    <w:semiHidden/>
    <w:unhideWhenUsed/>
    <w:rsid w:val="00370A46"/>
    <w:rPr>
      <w:color w:val="0000FF"/>
      <w:u w:val="single"/>
    </w:rPr>
  </w:style>
  <w:style w:type="paragraph" w:styleId="NormalWeb">
    <w:name w:val="Normal (Web)"/>
    <w:basedOn w:val="Normal"/>
    <w:uiPriority w:val="99"/>
    <w:semiHidden/>
    <w:unhideWhenUsed/>
    <w:rsid w:val="00867117"/>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69013">
      <w:bodyDiv w:val="1"/>
      <w:marLeft w:val="0"/>
      <w:marRight w:val="0"/>
      <w:marTop w:val="0"/>
      <w:marBottom w:val="0"/>
      <w:divBdr>
        <w:top w:val="none" w:sz="0" w:space="0" w:color="auto"/>
        <w:left w:val="none" w:sz="0" w:space="0" w:color="auto"/>
        <w:bottom w:val="none" w:sz="0" w:space="0" w:color="auto"/>
        <w:right w:val="none" w:sz="0" w:space="0" w:color="auto"/>
      </w:divBdr>
    </w:div>
    <w:div w:id="417022587">
      <w:bodyDiv w:val="1"/>
      <w:marLeft w:val="0"/>
      <w:marRight w:val="0"/>
      <w:marTop w:val="0"/>
      <w:marBottom w:val="0"/>
      <w:divBdr>
        <w:top w:val="none" w:sz="0" w:space="0" w:color="auto"/>
        <w:left w:val="none" w:sz="0" w:space="0" w:color="auto"/>
        <w:bottom w:val="none" w:sz="0" w:space="0" w:color="auto"/>
        <w:right w:val="none" w:sz="0" w:space="0" w:color="auto"/>
      </w:divBdr>
    </w:div>
    <w:div w:id="433399974">
      <w:bodyDiv w:val="1"/>
      <w:marLeft w:val="0"/>
      <w:marRight w:val="0"/>
      <w:marTop w:val="0"/>
      <w:marBottom w:val="0"/>
      <w:divBdr>
        <w:top w:val="none" w:sz="0" w:space="0" w:color="auto"/>
        <w:left w:val="none" w:sz="0" w:space="0" w:color="auto"/>
        <w:bottom w:val="none" w:sz="0" w:space="0" w:color="auto"/>
        <w:right w:val="none" w:sz="0" w:space="0" w:color="auto"/>
      </w:divBdr>
    </w:div>
    <w:div w:id="452092707">
      <w:bodyDiv w:val="1"/>
      <w:marLeft w:val="0"/>
      <w:marRight w:val="0"/>
      <w:marTop w:val="0"/>
      <w:marBottom w:val="0"/>
      <w:divBdr>
        <w:top w:val="none" w:sz="0" w:space="0" w:color="auto"/>
        <w:left w:val="none" w:sz="0" w:space="0" w:color="auto"/>
        <w:bottom w:val="none" w:sz="0" w:space="0" w:color="auto"/>
        <w:right w:val="none" w:sz="0" w:space="0" w:color="auto"/>
      </w:divBdr>
    </w:div>
    <w:div w:id="730009182">
      <w:bodyDiv w:val="1"/>
      <w:marLeft w:val="0"/>
      <w:marRight w:val="0"/>
      <w:marTop w:val="0"/>
      <w:marBottom w:val="0"/>
      <w:divBdr>
        <w:top w:val="none" w:sz="0" w:space="0" w:color="auto"/>
        <w:left w:val="none" w:sz="0" w:space="0" w:color="auto"/>
        <w:bottom w:val="none" w:sz="0" w:space="0" w:color="auto"/>
        <w:right w:val="none" w:sz="0" w:space="0" w:color="auto"/>
      </w:divBdr>
    </w:div>
    <w:div w:id="1089547565">
      <w:bodyDiv w:val="1"/>
      <w:marLeft w:val="0"/>
      <w:marRight w:val="0"/>
      <w:marTop w:val="0"/>
      <w:marBottom w:val="0"/>
      <w:divBdr>
        <w:top w:val="none" w:sz="0" w:space="0" w:color="auto"/>
        <w:left w:val="none" w:sz="0" w:space="0" w:color="auto"/>
        <w:bottom w:val="none" w:sz="0" w:space="0" w:color="auto"/>
        <w:right w:val="none" w:sz="0" w:space="0" w:color="auto"/>
      </w:divBdr>
    </w:div>
    <w:div w:id="1584601890">
      <w:bodyDiv w:val="1"/>
      <w:marLeft w:val="0"/>
      <w:marRight w:val="0"/>
      <w:marTop w:val="0"/>
      <w:marBottom w:val="0"/>
      <w:divBdr>
        <w:top w:val="none" w:sz="0" w:space="0" w:color="auto"/>
        <w:left w:val="none" w:sz="0" w:space="0" w:color="auto"/>
        <w:bottom w:val="none" w:sz="0" w:space="0" w:color="auto"/>
        <w:right w:val="none" w:sz="0" w:space="0" w:color="auto"/>
      </w:divBdr>
    </w:div>
    <w:div w:id="1769230129">
      <w:bodyDiv w:val="1"/>
      <w:marLeft w:val="0"/>
      <w:marRight w:val="0"/>
      <w:marTop w:val="0"/>
      <w:marBottom w:val="0"/>
      <w:divBdr>
        <w:top w:val="none" w:sz="0" w:space="0" w:color="auto"/>
        <w:left w:val="none" w:sz="0" w:space="0" w:color="auto"/>
        <w:bottom w:val="none" w:sz="0" w:space="0" w:color="auto"/>
        <w:right w:val="none" w:sz="0" w:space="0" w:color="auto"/>
      </w:divBdr>
    </w:div>
    <w:div w:id="180330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5</Pages>
  <Words>410</Words>
  <Characters>2255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Comité Igualdad</dc:creator>
  <cp:keywords/>
  <dc:description/>
  <cp:lastModifiedBy>Erika Nahomy Marino Marmolejo</cp:lastModifiedBy>
  <cp:revision>7</cp:revision>
  <dcterms:created xsi:type="dcterms:W3CDTF">2025-11-06T18:29:00Z</dcterms:created>
  <dcterms:modified xsi:type="dcterms:W3CDTF">2025-11-10T15:35:00Z</dcterms:modified>
</cp:coreProperties>
</file>