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52734" w14:textId="77777777" w:rsidR="0031296B" w:rsidRPr="004F1002" w:rsidRDefault="0031296B" w:rsidP="0031296B">
      <w:pPr>
        <w:spacing w:before="100" w:beforeAutospacing="1" w:after="100" w:afterAutospacing="1"/>
        <w:jc w:val="center"/>
        <w:outlineLvl w:val="1"/>
        <w:rPr>
          <w:rFonts w:ascii="Nirmala UI" w:eastAsia="Times New Roman" w:hAnsi="Nirmala UI" w:cs="Nirmala UI"/>
          <w:b/>
          <w:bCs/>
          <w:lang w:eastAsia="es-MX"/>
        </w:rPr>
      </w:pPr>
      <w:r w:rsidRPr="004F1002">
        <w:rPr>
          <w:rFonts w:ascii="Nirmala UI" w:eastAsia="Times New Roman" w:hAnsi="Nirmala UI" w:cs="Nirmala UI"/>
          <w:b/>
          <w:bCs/>
          <w:lang w:eastAsia="es-MX"/>
        </w:rPr>
        <w:t>Infraestructura física para el desarrollo de los programas de posgrado.</w:t>
      </w:r>
    </w:p>
    <w:p w14:paraId="607DADB6" w14:textId="77777777" w:rsidR="0031296B" w:rsidRDefault="0031296B" w:rsidP="0031296B">
      <w:pPr>
        <w:pStyle w:val="Prrafodelista"/>
        <w:numPr>
          <w:ilvl w:val="0"/>
          <w:numId w:val="25"/>
        </w:numPr>
        <w:spacing w:before="100" w:beforeAutospacing="1"/>
        <w:outlineLvl w:val="2"/>
        <w:rPr>
          <w:rFonts w:ascii="Nirmala UI" w:hAnsi="Nirmala UI" w:cs="Nirmala UI"/>
          <w:b/>
          <w:bCs/>
          <w:sz w:val="24"/>
          <w:szCs w:val="24"/>
          <w:lang w:eastAsia="es-MX"/>
        </w:rPr>
      </w:pPr>
      <w:proofErr w:type="spellStart"/>
      <w:r w:rsidRPr="004F1002">
        <w:rPr>
          <w:rFonts w:ascii="Nirmala UI" w:hAnsi="Nirmala UI" w:cs="Nirmala UI"/>
          <w:b/>
          <w:bCs/>
          <w:sz w:val="24"/>
          <w:szCs w:val="24"/>
          <w:lang w:eastAsia="es-MX"/>
        </w:rPr>
        <w:t>Capacidad</w:t>
      </w:r>
      <w:proofErr w:type="spellEnd"/>
      <w:r w:rsidRPr="004F1002">
        <w:rPr>
          <w:rFonts w:ascii="Nirmala UI" w:hAnsi="Nirmala UI" w:cs="Nirmala UI"/>
          <w:b/>
          <w:bCs/>
          <w:sz w:val="24"/>
          <w:szCs w:val="24"/>
          <w:lang w:eastAsia="es-MX"/>
        </w:rPr>
        <w:t xml:space="preserve"> </w:t>
      </w:r>
      <w:proofErr w:type="spellStart"/>
      <w:r w:rsidRPr="004F1002">
        <w:rPr>
          <w:rFonts w:ascii="Nirmala UI" w:hAnsi="Nirmala UI" w:cs="Nirmala UI"/>
          <w:b/>
          <w:bCs/>
          <w:sz w:val="24"/>
          <w:szCs w:val="24"/>
          <w:lang w:eastAsia="es-MX"/>
        </w:rPr>
        <w:t>instalada</w:t>
      </w:r>
      <w:proofErr w:type="spellEnd"/>
    </w:p>
    <w:p w14:paraId="507E0552" w14:textId="7906F76E" w:rsidR="0031296B" w:rsidRPr="00D50685" w:rsidRDefault="0031296B" w:rsidP="00473DC5">
      <w:pPr>
        <w:spacing w:before="100" w:beforeAutospacing="1" w:after="100" w:afterAutospacing="1"/>
        <w:jc w:val="both"/>
        <w:outlineLvl w:val="2"/>
        <w:rPr>
          <w:rFonts w:ascii="Nirmala UI" w:eastAsia="Times New Roman" w:hAnsi="Nirmala UI" w:cs="Nirmala UI"/>
          <w:b/>
          <w:bCs/>
          <w:lang w:eastAsia="es-MX"/>
        </w:rPr>
      </w:pPr>
      <w:r w:rsidRPr="00D50685">
        <w:rPr>
          <w:rFonts w:ascii="Nirmala UI" w:eastAsia="Times New Roman" w:hAnsi="Nirmala UI" w:cs="Nirmala UI"/>
          <w:lang w:eastAsia="es-MX"/>
        </w:rPr>
        <w:t>El CIATEJ cuenta con la infraestructura necesaria para que las y los estudiantes desarrollen sus actividades experimentales dentro de sus instalaciones</w:t>
      </w:r>
      <w:r w:rsidR="007B4D6B">
        <w:rPr>
          <w:rFonts w:ascii="Nirmala UI" w:eastAsia="Times New Roman" w:hAnsi="Nirmala UI" w:cs="Nirmala UI"/>
          <w:lang w:eastAsia="es-MX"/>
        </w:rPr>
        <w:t xml:space="preserve"> disponiendo de </w:t>
      </w:r>
      <w:r w:rsidRPr="00D50685">
        <w:rPr>
          <w:rFonts w:ascii="Nirmala UI" w:eastAsia="Times New Roman" w:hAnsi="Nirmala UI" w:cs="Nirmala UI"/>
          <w:lang w:eastAsia="es-MX"/>
        </w:rPr>
        <w:t>laboratorios, plantas piloto y espacios especializados en sus cuatro unidades para garantizar el desarrollo adecuado de los proyectos de investigación.</w:t>
      </w:r>
    </w:p>
    <w:p w14:paraId="0D9F0258" w14:textId="77777777" w:rsidR="0031296B" w:rsidRPr="004F1002" w:rsidRDefault="0031296B" w:rsidP="0031296B">
      <w:pPr>
        <w:spacing w:before="100" w:beforeAutospacing="1" w:after="100" w:afterAutospacing="1"/>
        <w:outlineLvl w:val="2"/>
        <w:rPr>
          <w:rFonts w:ascii="Nirmala UI" w:eastAsia="Times New Roman" w:hAnsi="Nirmala UI" w:cs="Nirmala UI"/>
          <w:b/>
          <w:bCs/>
          <w:lang w:eastAsia="es-MX"/>
        </w:rPr>
      </w:pPr>
      <w:r w:rsidRPr="004F1002">
        <w:rPr>
          <w:rFonts w:ascii="Nirmala UI" w:eastAsia="Times New Roman" w:hAnsi="Nirmala UI" w:cs="Nirmala UI"/>
          <w:b/>
          <w:bCs/>
          <w:lang w:eastAsia="es-MX"/>
        </w:rPr>
        <w:t>1.1 Espacios académicos y administrativos</w:t>
      </w:r>
    </w:p>
    <w:p w14:paraId="28299E7F" w14:textId="77777777" w:rsidR="0031296B" w:rsidRPr="00EB4771" w:rsidRDefault="0031296B" w:rsidP="0031296B">
      <w:pPr>
        <w:spacing w:before="100" w:beforeAutospacing="1"/>
        <w:outlineLvl w:val="3"/>
        <w:rPr>
          <w:rFonts w:ascii="Nirmala UI" w:eastAsia="Times New Roman" w:hAnsi="Nirmala UI" w:cs="Nirmala UI"/>
          <w:b/>
          <w:bCs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lang w:eastAsia="es-MX"/>
        </w:rPr>
        <w:t>Aulas y auditorios</w:t>
      </w:r>
    </w:p>
    <w:p w14:paraId="5FB22E46" w14:textId="77777777" w:rsidR="0031296B" w:rsidRPr="00EB4771" w:rsidRDefault="0031296B" w:rsidP="0031296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lang w:eastAsia="es-MX"/>
        </w:rPr>
        <w:t>El programa se impartirá con apoyo de Tecnologías de la Información y la Comunicación (TIC); sin embargo, las cuatro unidades del CIATEJ cuentan con aulas equipadas con proyectores, pantallas, pizarrones y sistemas de videoconferencia. Además, cada unidad dispone de un auditorio destinado a la presentación de exámenes de grado.</w:t>
      </w:r>
    </w:p>
    <w:p w14:paraId="51A61FDA" w14:textId="77777777" w:rsidR="0031296B" w:rsidRPr="008723FF" w:rsidRDefault="0031296B" w:rsidP="0031296B">
      <w:pPr>
        <w:spacing w:before="100" w:beforeAutospacing="1" w:after="100" w:afterAutospacing="1"/>
        <w:rPr>
          <w:rFonts w:ascii="Nirmala UI" w:eastAsia="Times New Roman" w:hAnsi="Nirmala UI" w:cs="Nirmala UI"/>
          <w:lang w:eastAsia="es-MX"/>
        </w:rPr>
      </w:pPr>
      <w:r w:rsidRPr="008723FF">
        <w:rPr>
          <w:rFonts w:ascii="Nirmala UI" w:eastAsia="Times New Roman" w:hAnsi="Nirmala UI" w:cs="Nirmala UI"/>
          <w:b/>
          <w:bCs/>
          <w:lang w:eastAsia="es-MX"/>
        </w:rPr>
        <w:t>Distribución de aulas: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1735"/>
      </w:tblGrid>
      <w:tr w:rsidR="0031296B" w:rsidRPr="00EB4771" w14:paraId="06961850" w14:textId="77777777" w:rsidTr="00A145CE">
        <w:trPr>
          <w:tblHeader/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6D20C1AA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eastAsia="es-MX"/>
              </w:rPr>
              <w:t>Unidad</w:t>
            </w:r>
          </w:p>
        </w:tc>
        <w:tc>
          <w:tcPr>
            <w:tcW w:w="0" w:type="auto"/>
            <w:vAlign w:val="center"/>
            <w:hideMark/>
          </w:tcPr>
          <w:p w14:paraId="1CB27DF0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eastAsia="es-MX"/>
              </w:rPr>
              <w:t>Aulas disponibles</w:t>
            </w:r>
          </w:p>
        </w:tc>
      </w:tr>
      <w:tr w:rsidR="0031296B" w:rsidRPr="00EB4771" w14:paraId="3011DA7E" w14:textId="77777777" w:rsidTr="00A145CE">
        <w:trPr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472F6A69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Guadalajara</w:t>
            </w:r>
          </w:p>
        </w:tc>
        <w:tc>
          <w:tcPr>
            <w:tcW w:w="0" w:type="auto"/>
            <w:vAlign w:val="center"/>
            <w:hideMark/>
          </w:tcPr>
          <w:p w14:paraId="01122493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5</w:t>
            </w:r>
          </w:p>
        </w:tc>
      </w:tr>
      <w:tr w:rsidR="0031296B" w:rsidRPr="00EB4771" w14:paraId="4086D989" w14:textId="77777777" w:rsidTr="00A145CE">
        <w:trPr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37F7EB5E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Zapopan</w:t>
            </w:r>
          </w:p>
        </w:tc>
        <w:tc>
          <w:tcPr>
            <w:tcW w:w="0" w:type="auto"/>
            <w:vAlign w:val="center"/>
            <w:hideMark/>
          </w:tcPr>
          <w:p w14:paraId="3D0D4117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4</w:t>
            </w:r>
          </w:p>
        </w:tc>
      </w:tr>
      <w:tr w:rsidR="0031296B" w:rsidRPr="00EB4771" w14:paraId="59E75F32" w14:textId="77777777" w:rsidTr="00A145CE">
        <w:trPr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10542FDE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Sureste</w:t>
            </w:r>
          </w:p>
        </w:tc>
        <w:tc>
          <w:tcPr>
            <w:tcW w:w="0" w:type="auto"/>
            <w:vAlign w:val="center"/>
            <w:hideMark/>
          </w:tcPr>
          <w:p w14:paraId="08BD1BFD" w14:textId="77D55400" w:rsidR="0031296B" w:rsidRPr="00473DC5" w:rsidRDefault="00473DC5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2</w:t>
            </w:r>
            <w:r w:rsidR="0031296B"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*</w:t>
            </w:r>
          </w:p>
        </w:tc>
      </w:tr>
      <w:tr w:rsidR="0031296B" w:rsidRPr="00EB4771" w14:paraId="19818DD9" w14:textId="77777777" w:rsidTr="00A145CE">
        <w:trPr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1C3BFA67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Noreste</w:t>
            </w:r>
          </w:p>
        </w:tc>
        <w:tc>
          <w:tcPr>
            <w:tcW w:w="0" w:type="auto"/>
            <w:vAlign w:val="center"/>
            <w:hideMark/>
          </w:tcPr>
          <w:p w14:paraId="4401F0D9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  <w:t>3</w:t>
            </w:r>
          </w:p>
        </w:tc>
      </w:tr>
      <w:tr w:rsidR="0031296B" w:rsidRPr="00EB4771" w14:paraId="10A7F2BB" w14:textId="77777777" w:rsidTr="00A145CE">
        <w:trPr>
          <w:tblCellSpacing w:w="15" w:type="dxa"/>
          <w:jc w:val="center"/>
        </w:trPr>
        <w:tc>
          <w:tcPr>
            <w:tcW w:w="2584" w:type="dxa"/>
            <w:vAlign w:val="center"/>
            <w:hideMark/>
          </w:tcPr>
          <w:p w14:paraId="1A2B8F95" w14:textId="77777777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14300120" w14:textId="1CE380FD" w:rsidR="0031296B" w:rsidRPr="00473DC5" w:rsidRDefault="0031296B" w:rsidP="00A145CE">
            <w:pPr>
              <w:jc w:val="center"/>
              <w:rPr>
                <w:rFonts w:ascii="Nirmala UI" w:eastAsia="Times New Roman" w:hAnsi="Nirmala UI" w:cs="Nirmala UI"/>
                <w:sz w:val="20"/>
                <w:szCs w:val="20"/>
                <w:lang w:eastAsia="es-MX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eastAsia="es-MX"/>
              </w:rPr>
              <w:t>1</w:t>
            </w:r>
            <w:r w:rsidR="00473DC5"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  <w:lang w:eastAsia="es-MX"/>
              </w:rPr>
              <w:t>4</w:t>
            </w:r>
          </w:p>
        </w:tc>
      </w:tr>
    </w:tbl>
    <w:p w14:paraId="03040852" w14:textId="4CBFE557" w:rsidR="00473DC5" w:rsidRPr="00473DC5" w:rsidRDefault="0031296B" w:rsidP="00473DC5">
      <w:pPr>
        <w:spacing w:after="100" w:afterAutospacing="1"/>
        <w:rPr>
          <w:rFonts w:ascii="Nirmala UI" w:eastAsia="Times New Roman" w:hAnsi="Nirmala UI" w:cs="Nirmala UI"/>
          <w:sz w:val="20"/>
          <w:szCs w:val="20"/>
          <w:lang w:eastAsia="es-MX"/>
        </w:rPr>
      </w:pPr>
      <w:r w:rsidRPr="00473DC5">
        <w:rPr>
          <w:rFonts w:ascii="Nirmala UI" w:eastAsia="Times New Roman" w:hAnsi="Nirmala UI" w:cs="Nirmala UI"/>
          <w:sz w:val="20"/>
          <w:szCs w:val="20"/>
          <w:lang w:eastAsia="es-MX"/>
        </w:rPr>
        <w:t>*La Unidad Sureste cuenta además con salas de uso común pertenecientes al Parque Científico y Tecnológico de Yucatán (PCTY).</w:t>
      </w:r>
    </w:p>
    <w:p w14:paraId="27967A45" w14:textId="65EE5371" w:rsidR="0031296B" w:rsidRPr="00473DC5" w:rsidRDefault="0031296B" w:rsidP="00473DC5">
      <w:pPr>
        <w:spacing w:after="100" w:afterAutospacing="1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lang w:eastAsia="es-MX"/>
        </w:rPr>
        <w:t>Espacios para profesores y estudiantes</w:t>
      </w:r>
    </w:p>
    <w:p w14:paraId="52DD7558" w14:textId="79BDA9FD" w:rsidR="0031296B" w:rsidRPr="00EB4771" w:rsidRDefault="0031296B" w:rsidP="0031296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lang w:eastAsia="es-MX"/>
        </w:rPr>
        <w:t xml:space="preserve">Todo el personal académico dispone de cubículos individuales para actividades de investigación, tutorías y asesoría a estudiantes. Asimismo, </w:t>
      </w:r>
      <w:r w:rsidR="00473DC5">
        <w:rPr>
          <w:rFonts w:ascii="Nirmala UI" w:eastAsia="Times New Roman" w:hAnsi="Nirmala UI" w:cs="Nirmala UI"/>
          <w:lang w:eastAsia="es-MX"/>
        </w:rPr>
        <w:t xml:space="preserve">las y </w:t>
      </w:r>
      <w:r w:rsidRPr="00EB4771">
        <w:rPr>
          <w:rFonts w:ascii="Nirmala UI" w:eastAsia="Times New Roman" w:hAnsi="Nirmala UI" w:cs="Nirmala UI"/>
          <w:lang w:eastAsia="es-MX"/>
        </w:rPr>
        <w:t xml:space="preserve">los estudiantes cuentan con cubículos </w:t>
      </w:r>
      <w:r w:rsidR="00473DC5">
        <w:rPr>
          <w:rFonts w:ascii="Nirmala UI" w:eastAsia="Times New Roman" w:hAnsi="Nirmala UI" w:cs="Nirmala UI"/>
          <w:lang w:eastAsia="es-MX"/>
        </w:rPr>
        <w:t xml:space="preserve">individuales en la unidad donde desarrollan actividades, </w:t>
      </w:r>
      <w:r w:rsidR="00473DC5" w:rsidRPr="00EB4771">
        <w:rPr>
          <w:rFonts w:ascii="Nirmala UI" w:eastAsia="Times New Roman" w:hAnsi="Nirmala UI" w:cs="Nirmala UI"/>
          <w:lang w:eastAsia="es-MX"/>
        </w:rPr>
        <w:t>equipados</w:t>
      </w:r>
      <w:r w:rsidRPr="00EB4771">
        <w:rPr>
          <w:rFonts w:ascii="Nirmala UI" w:eastAsia="Times New Roman" w:hAnsi="Nirmala UI" w:cs="Nirmala UI"/>
          <w:lang w:eastAsia="es-MX"/>
        </w:rPr>
        <w:t xml:space="preserve"> con aire acondicionado, conexión a internet inalámbrico, casilleros para resguardo de pertenencias y mobiliario para trabajo académico, redacción de documentos y preparación de reportes, tareas o avances de tesis.</w:t>
      </w:r>
    </w:p>
    <w:p w14:paraId="14EB875D" w14:textId="77777777" w:rsidR="0031296B" w:rsidRPr="00EB4771" w:rsidRDefault="0031296B" w:rsidP="0031296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lang w:eastAsia="es-MX"/>
        </w:rPr>
        <w:lastRenderedPageBreak/>
        <w:t>En cada unidad existen áreas destinadas al consumo de alimentos, equipadas con refrigeradores, hornos de microondas y dispensadores de agua, considerando que las jornadas de trabajo pueden extenderse dentro del Centro.</w:t>
      </w:r>
    </w:p>
    <w:p w14:paraId="2AB4BED2" w14:textId="77777777" w:rsidR="0031296B" w:rsidRPr="00EB4771" w:rsidRDefault="0031296B" w:rsidP="0031296B">
      <w:pPr>
        <w:spacing w:before="100" w:beforeAutospacing="1"/>
        <w:outlineLvl w:val="3"/>
        <w:rPr>
          <w:rFonts w:ascii="Nirmala UI" w:eastAsia="Times New Roman" w:hAnsi="Nirmala UI" w:cs="Nirmala UI"/>
          <w:b/>
          <w:bCs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lang w:eastAsia="es-MX"/>
        </w:rPr>
        <w:t>Servicios médicos y seguridad</w:t>
      </w:r>
    </w:p>
    <w:p w14:paraId="7309556E" w14:textId="0C4741C1" w:rsidR="0031296B" w:rsidRPr="00EB4771" w:rsidRDefault="0031296B" w:rsidP="0031296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lang w:eastAsia="es-MX"/>
        </w:rPr>
        <w:t>Con la finalidad de garantizar la seguridad y el bienestar de la comunidad académica, cada unidad del CIATEJ cuenta con un consultorio médico para la atención de emergencias y malestares menores, sin costo para estudiantes o personal. En caso de accidentes mayores, las y los estudiantes disponen de un Seguro Colectivo de Accidentes Personales con cobertura de hasta $30,000.00 dentro de las instalaciones o durante los trayectos relacionados con actividades institucionales</w:t>
      </w:r>
      <w:r w:rsidR="00473DC5">
        <w:rPr>
          <w:rFonts w:ascii="Nirmala UI" w:eastAsia="Times New Roman" w:hAnsi="Nirmala UI" w:cs="Nirmala UI"/>
          <w:lang w:eastAsia="es-MX"/>
        </w:rPr>
        <w:t>, lo cual complementa el servicio del ISSSTE que proporciona la SECIHTI</w:t>
      </w:r>
      <w:r w:rsidRPr="00EB4771">
        <w:rPr>
          <w:rFonts w:ascii="Nirmala UI" w:eastAsia="Times New Roman" w:hAnsi="Nirmala UI" w:cs="Nirmala UI"/>
          <w:lang w:eastAsia="es-MX"/>
        </w:rPr>
        <w:t>.</w:t>
      </w:r>
    </w:p>
    <w:p w14:paraId="481F4051" w14:textId="77777777" w:rsidR="0031296B" w:rsidRPr="004F1002" w:rsidRDefault="0031296B" w:rsidP="0031296B">
      <w:pPr>
        <w:spacing w:before="100" w:beforeAutospacing="1"/>
        <w:outlineLvl w:val="2"/>
        <w:rPr>
          <w:rFonts w:ascii="Nirmala UI" w:eastAsia="Times New Roman" w:hAnsi="Nirmala UI" w:cs="Nirmala UI"/>
          <w:b/>
          <w:bCs/>
          <w:lang w:eastAsia="es-MX"/>
        </w:rPr>
      </w:pPr>
      <w:r w:rsidRPr="004F1002">
        <w:rPr>
          <w:rFonts w:ascii="Nirmala UI" w:eastAsia="Times New Roman" w:hAnsi="Nirmala UI" w:cs="Nirmala UI"/>
          <w:b/>
          <w:bCs/>
          <w:lang w:eastAsia="es-MX"/>
        </w:rPr>
        <w:t>Laboratorios, talleres y plantas piloto</w:t>
      </w:r>
    </w:p>
    <w:p w14:paraId="71F337DE" w14:textId="5E89C9A3" w:rsidR="0031296B" w:rsidRDefault="0031296B" w:rsidP="0031296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lang w:eastAsia="es-MX"/>
        </w:rPr>
        <w:t>El CIATEJ cuenta con infraestructura sólida y en operación continua para el desarrollo experimental y la ejecución de proyectos terminales. A continuación, se enlistan los principales laboratorios y áreas especializadas: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135"/>
        <w:gridCol w:w="4414"/>
      </w:tblGrid>
      <w:tr w:rsidR="00473DC5" w:rsidRPr="00473DC5" w14:paraId="3ACACF4B" w14:textId="77777777" w:rsidTr="00473DC5">
        <w:tc>
          <w:tcPr>
            <w:tcW w:w="4135" w:type="dxa"/>
          </w:tcPr>
          <w:p w14:paraId="2853CDAF" w14:textId="7EC01E4E" w:rsidR="00473DC5" w:rsidRPr="00473DC5" w:rsidRDefault="00473DC5" w:rsidP="0031296B">
            <w:pPr>
              <w:spacing w:before="100" w:beforeAutospacing="1" w:after="100" w:afterAutospacing="1"/>
              <w:jc w:val="both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Tecnología Ambiental</w:t>
            </w:r>
          </w:p>
        </w:tc>
        <w:tc>
          <w:tcPr>
            <w:tcW w:w="4414" w:type="dxa"/>
          </w:tcPr>
          <w:p w14:paraId="320667D9" w14:textId="13CBC8F7" w:rsidR="00473DC5" w:rsidRPr="00473DC5" w:rsidRDefault="00473DC5" w:rsidP="0031296B">
            <w:pPr>
              <w:spacing w:before="100" w:beforeAutospacing="1" w:after="100" w:afterAutospacing="1"/>
              <w:jc w:val="both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Biotecnología Médica y Farmacéutica</w:t>
            </w:r>
          </w:p>
        </w:tc>
      </w:tr>
      <w:tr w:rsidR="00473DC5" w:rsidRPr="00473DC5" w14:paraId="29D10B2B" w14:textId="77777777" w:rsidTr="00473DC5">
        <w:tc>
          <w:tcPr>
            <w:tcW w:w="4135" w:type="dxa"/>
          </w:tcPr>
          <w:p w14:paraId="4B93744F" w14:textId="77777777" w:rsidR="00473DC5" w:rsidRPr="00473DC5" w:rsidRDefault="00473DC5" w:rsidP="00473DC5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Tratamiento de aguas</w:t>
            </w:r>
          </w:p>
          <w:p w14:paraId="72E1C7F3" w14:textId="77777777" w:rsidR="00473DC5" w:rsidRPr="00473DC5" w:rsidRDefault="00473DC5" w:rsidP="00473DC5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Cromatografía</w:t>
            </w:r>
          </w:p>
          <w:p w14:paraId="5AC09988" w14:textId="77777777" w:rsidR="00473DC5" w:rsidRPr="00473DC5" w:rsidRDefault="00473DC5" w:rsidP="00473DC5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Biotecnología ambiental</w:t>
            </w:r>
          </w:p>
          <w:p w14:paraId="29CED1BF" w14:textId="77777777" w:rsidR="00473DC5" w:rsidRPr="00473DC5" w:rsidRDefault="00473DC5" w:rsidP="00473DC5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Química ambiental</w:t>
            </w:r>
          </w:p>
          <w:p w14:paraId="117F3376" w14:textId="77777777" w:rsidR="00473DC5" w:rsidRPr="00473DC5" w:rsidRDefault="00473DC5" w:rsidP="0031296B">
            <w:pPr>
              <w:spacing w:before="100" w:beforeAutospacing="1" w:after="100" w:afterAutospacing="1"/>
              <w:jc w:val="both"/>
              <w:rPr>
                <w:rFonts w:ascii="Nirmala UI" w:eastAsia="Times New Roman" w:hAnsi="Nirmala UI" w:cs="Nirmala UI"/>
                <w:sz w:val="20"/>
                <w:szCs w:val="20"/>
              </w:rPr>
            </w:pPr>
          </w:p>
        </w:tc>
        <w:tc>
          <w:tcPr>
            <w:tcW w:w="4414" w:type="dxa"/>
          </w:tcPr>
          <w:p w14:paraId="0CBDF393" w14:textId="77777777" w:rsidR="00473DC5" w:rsidRPr="00473DC5" w:rsidRDefault="00473DC5" w:rsidP="00473DC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Cultivo celular</w:t>
            </w:r>
          </w:p>
          <w:p w14:paraId="6E36143C" w14:textId="77777777" w:rsidR="00473DC5" w:rsidRPr="00473DC5" w:rsidRDefault="00473DC5" w:rsidP="00473DC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Bioseguridad nivel 2 y 3</w:t>
            </w:r>
          </w:p>
          <w:p w14:paraId="2BB326BA" w14:textId="77777777" w:rsidR="00473DC5" w:rsidRPr="00473DC5" w:rsidRDefault="00473DC5" w:rsidP="00473DC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Genómica</w:t>
            </w:r>
          </w:p>
          <w:p w14:paraId="12E17AD3" w14:textId="77777777" w:rsidR="00473DC5" w:rsidRPr="00473DC5" w:rsidRDefault="00473DC5" w:rsidP="00473DC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Bioterio de investigación</w:t>
            </w:r>
          </w:p>
          <w:p w14:paraId="6F31AE8A" w14:textId="77777777" w:rsidR="00473DC5" w:rsidRPr="00473DC5" w:rsidRDefault="00473DC5" w:rsidP="00473DC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Medicina personalizada</w:t>
            </w:r>
          </w:p>
          <w:p w14:paraId="6001E5AF" w14:textId="77777777" w:rsidR="00473DC5" w:rsidRPr="00473DC5" w:rsidRDefault="00473DC5" w:rsidP="00473DC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Unidad de evaluación preclínica</w:t>
            </w:r>
          </w:p>
          <w:p w14:paraId="43D546A9" w14:textId="77777777" w:rsidR="00473DC5" w:rsidRPr="00473DC5" w:rsidRDefault="00473DC5" w:rsidP="00473DC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Células troncales y transgénicos</w:t>
            </w:r>
          </w:p>
          <w:p w14:paraId="6804A44C" w14:textId="77777777" w:rsidR="00473DC5" w:rsidRPr="00473DC5" w:rsidRDefault="00473DC5" w:rsidP="00473DC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Anticuerpos e imagenología de modelos tumorales</w:t>
            </w:r>
          </w:p>
          <w:p w14:paraId="151FEED3" w14:textId="77777777" w:rsidR="00473DC5" w:rsidRPr="00473DC5" w:rsidRDefault="00473DC5" w:rsidP="00473DC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Prototipado de pruebas de flujo lateral</w:t>
            </w:r>
          </w:p>
          <w:p w14:paraId="0519C7C2" w14:textId="77777777" w:rsidR="00473DC5" w:rsidRPr="00473DC5" w:rsidRDefault="00473DC5" w:rsidP="00473DC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Digestión ex vivo</w:t>
            </w:r>
          </w:p>
          <w:p w14:paraId="57E5E6B8" w14:textId="6B7289F1" w:rsidR="00473DC5" w:rsidRPr="00473DC5" w:rsidRDefault="00473DC5" w:rsidP="00473DC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Investigaciones entomológicas, entre otros</w:t>
            </w:r>
          </w:p>
        </w:tc>
      </w:tr>
      <w:tr w:rsidR="00473DC5" w:rsidRPr="00473DC5" w14:paraId="12ECC5A1" w14:textId="77777777" w:rsidTr="00473DC5">
        <w:tc>
          <w:tcPr>
            <w:tcW w:w="4135" w:type="dxa"/>
          </w:tcPr>
          <w:p w14:paraId="53A640CB" w14:textId="3561C3CC" w:rsidR="00473DC5" w:rsidRPr="00473DC5" w:rsidRDefault="00473DC5" w:rsidP="0031296B">
            <w:pPr>
              <w:spacing w:before="100" w:beforeAutospacing="1" w:after="100" w:afterAutospacing="1"/>
              <w:jc w:val="both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Biotecnología Industrial y Agroalimentaria</w:t>
            </w:r>
          </w:p>
        </w:tc>
        <w:tc>
          <w:tcPr>
            <w:tcW w:w="4414" w:type="dxa"/>
          </w:tcPr>
          <w:p w14:paraId="2C109339" w14:textId="44DDB61F" w:rsidR="00473DC5" w:rsidRPr="00473DC5" w:rsidRDefault="00473DC5" w:rsidP="0031296B">
            <w:pPr>
              <w:spacing w:before="100" w:beforeAutospacing="1" w:after="100" w:afterAutospacing="1"/>
              <w:jc w:val="both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Tecnología Alimentaria</w:t>
            </w:r>
          </w:p>
        </w:tc>
      </w:tr>
      <w:tr w:rsidR="00473DC5" w:rsidRPr="00473DC5" w14:paraId="03A9D552" w14:textId="77777777" w:rsidTr="007B4D6B">
        <w:trPr>
          <w:trHeight w:val="2429"/>
        </w:trPr>
        <w:tc>
          <w:tcPr>
            <w:tcW w:w="4135" w:type="dxa"/>
          </w:tcPr>
          <w:p w14:paraId="0AB42FC8" w14:textId="77777777" w:rsidR="00473DC5" w:rsidRPr="00473DC5" w:rsidRDefault="00473DC5" w:rsidP="00473DC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lastRenderedPageBreak/>
              <w:t>Microbiología molecular</w:t>
            </w:r>
          </w:p>
          <w:p w14:paraId="3D99B458" w14:textId="77777777" w:rsidR="00473DC5" w:rsidRPr="00473DC5" w:rsidRDefault="00473DC5" w:rsidP="00473DC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Procesos enzimáticos y microbianos</w:t>
            </w:r>
          </w:p>
          <w:p w14:paraId="4CA85FA5" w14:textId="77777777" w:rsidR="00473DC5" w:rsidRPr="00473DC5" w:rsidRDefault="00473DC5" w:rsidP="00473DC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Planta piloto de bioprocesos</w:t>
            </w:r>
          </w:p>
          <w:p w14:paraId="726A2850" w14:textId="77777777" w:rsidR="00473DC5" w:rsidRPr="00473DC5" w:rsidRDefault="00473DC5" w:rsidP="00473DC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Microscopía de fluorescencia</w:t>
            </w:r>
          </w:p>
          <w:p w14:paraId="6D996A10" w14:textId="77777777" w:rsidR="00473DC5" w:rsidRPr="00473DC5" w:rsidRDefault="00473DC5" w:rsidP="00473DC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Síntesis orgánica</w:t>
            </w:r>
          </w:p>
          <w:p w14:paraId="3186E252" w14:textId="77777777" w:rsidR="00473DC5" w:rsidRPr="00473DC5" w:rsidRDefault="00473DC5" w:rsidP="00473DC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Biología sintética</w:t>
            </w:r>
          </w:p>
          <w:p w14:paraId="206675C0" w14:textId="0E1CCFF9" w:rsidR="00473DC5" w:rsidRPr="00473DC5" w:rsidRDefault="00473DC5" w:rsidP="00473DC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Innovación en bioelectrónica, bioenergéticos e inteligencia artificial aplicada</w:t>
            </w:r>
          </w:p>
        </w:tc>
        <w:tc>
          <w:tcPr>
            <w:tcW w:w="4414" w:type="dxa"/>
          </w:tcPr>
          <w:p w14:paraId="761B1414" w14:textId="77777777" w:rsidR="00473DC5" w:rsidRPr="00473DC5" w:rsidRDefault="00473DC5" w:rsidP="00473DC5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Extracciones</w:t>
            </w:r>
          </w:p>
          <w:p w14:paraId="07DE43C5" w14:textId="77777777" w:rsidR="00473DC5" w:rsidRPr="00473DC5" w:rsidRDefault="00473DC5" w:rsidP="00473DC5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Desarrollo de productos</w:t>
            </w:r>
          </w:p>
          <w:p w14:paraId="74DAA3D2" w14:textId="77777777" w:rsidR="00473DC5" w:rsidRPr="00473DC5" w:rsidRDefault="00473DC5" w:rsidP="00473DC5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Análisis sensorial e instrumental</w:t>
            </w:r>
          </w:p>
          <w:p w14:paraId="02CBA588" w14:textId="77777777" w:rsidR="00473DC5" w:rsidRPr="00473DC5" w:rsidRDefault="00473DC5" w:rsidP="00473DC5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Microbiología y procesos</w:t>
            </w:r>
          </w:p>
          <w:p w14:paraId="5999F7CB" w14:textId="77777777" w:rsidR="00473DC5" w:rsidRPr="00473DC5" w:rsidRDefault="00473DC5" w:rsidP="00473DC5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Planta piloto de alimentos</w:t>
            </w:r>
          </w:p>
          <w:p w14:paraId="15C00C70" w14:textId="02633DD5" w:rsidR="00473DC5" w:rsidRPr="00473DC5" w:rsidRDefault="00473DC5" w:rsidP="00473DC5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Taller de reparaciones y nuevos equipos</w:t>
            </w:r>
          </w:p>
        </w:tc>
      </w:tr>
      <w:tr w:rsidR="00473DC5" w:rsidRPr="00473DC5" w14:paraId="3EA95CB7" w14:textId="77777777" w:rsidTr="00473DC5">
        <w:tc>
          <w:tcPr>
            <w:tcW w:w="4135" w:type="dxa"/>
          </w:tcPr>
          <w:p w14:paraId="256959D9" w14:textId="68F8FDF7" w:rsidR="00473DC5" w:rsidRPr="00473DC5" w:rsidRDefault="00473DC5" w:rsidP="0031296B">
            <w:pPr>
              <w:spacing w:before="100" w:beforeAutospacing="1" w:after="100" w:afterAutospacing="1"/>
              <w:jc w:val="both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Biotecnología Vegetal</w:t>
            </w:r>
          </w:p>
        </w:tc>
        <w:tc>
          <w:tcPr>
            <w:tcW w:w="4414" w:type="dxa"/>
          </w:tcPr>
          <w:p w14:paraId="55A89001" w14:textId="20349ADA" w:rsidR="00473DC5" w:rsidRPr="00473DC5" w:rsidRDefault="00473DC5" w:rsidP="0031296B">
            <w:pPr>
              <w:spacing w:before="100" w:beforeAutospacing="1" w:after="100" w:afterAutospacing="1"/>
              <w:jc w:val="both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b/>
                <w:bCs/>
                <w:sz w:val="20"/>
                <w:szCs w:val="20"/>
              </w:rPr>
              <w:t>Unidad Sureste</w:t>
            </w:r>
          </w:p>
        </w:tc>
      </w:tr>
      <w:tr w:rsidR="00473DC5" w:rsidRPr="00473DC5" w14:paraId="408FD55C" w14:textId="77777777" w:rsidTr="007B4D6B">
        <w:trPr>
          <w:trHeight w:val="2443"/>
        </w:trPr>
        <w:tc>
          <w:tcPr>
            <w:tcW w:w="4135" w:type="dxa"/>
          </w:tcPr>
          <w:p w14:paraId="3E279026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Biología molecular</w:t>
            </w:r>
          </w:p>
          <w:p w14:paraId="0ED1D846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proofErr w:type="spellStart"/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Fitosanidad</w:t>
            </w:r>
            <w:proofErr w:type="spellEnd"/>
          </w:p>
          <w:p w14:paraId="2362C06F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Microalgas</w:t>
            </w:r>
          </w:p>
          <w:p w14:paraId="1E7D3559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Microscopia y cuarto oscuro</w:t>
            </w:r>
          </w:p>
          <w:p w14:paraId="447454B3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Invernaderos generales y de fitopatología</w:t>
            </w:r>
          </w:p>
          <w:p w14:paraId="3DE227CD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Sala de transferencia</w:t>
            </w:r>
          </w:p>
          <w:p w14:paraId="281DB5F8" w14:textId="77777777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Incubadores</w:t>
            </w:r>
          </w:p>
          <w:p w14:paraId="052840F1" w14:textId="3447B499" w:rsidR="00473DC5" w:rsidRPr="00473DC5" w:rsidRDefault="00473DC5" w:rsidP="00473DC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Parcela experimental</w:t>
            </w:r>
          </w:p>
        </w:tc>
        <w:tc>
          <w:tcPr>
            <w:tcW w:w="4414" w:type="dxa"/>
          </w:tcPr>
          <w:p w14:paraId="19CD7ED3" w14:textId="77777777" w:rsidR="00473DC5" w:rsidRPr="00473DC5" w:rsidRDefault="00473DC5" w:rsidP="00473DC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Laboratorios de bioprocesos</w:t>
            </w:r>
          </w:p>
          <w:p w14:paraId="7B871DAB" w14:textId="77777777" w:rsidR="00473DC5" w:rsidRPr="00473DC5" w:rsidRDefault="00473DC5" w:rsidP="00473DC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Tecnología y conservación de alimentos</w:t>
            </w:r>
          </w:p>
          <w:p w14:paraId="098A3218" w14:textId="77777777" w:rsidR="00473DC5" w:rsidRPr="00473DC5" w:rsidRDefault="00473DC5" w:rsidP="00473DC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Micropropagación y mejoramiento genético</w:t>
            </w:r>
          </w:p>
          <w:p w14:paraId="15B077B2" w14:textId="77777777" w:rsidR="00473DC5" w:rsidRPr="00473DC5" w:rsidRDefault="00473DC5" w:rsidP="00473DC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Servicios especializados en inocuidad, seguridad y trazabilidad alimentaria</w:t>
            </w:r>
          </w:p>
          <w:p w14:paraId="74501DB0" w14:textId="3DE82F78" w:rsidR="00473DC5" w:rsidRPr="00473DC5" w:rsidRDefault="00473DC5" w:rsidP="00473DC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Nirmala UI" w:eastAsia="Times New Roman" w:hAnsi="Nirmala UI" w:cs="Nirmala UI"/>
                <w:sz w:val="20"/>
                <w:szCs w:val="20"/>
              </w:rPr>
            </w:pPr>
            <w:r w:rsidRPr="00473DC5">
              <w:rPr>
                <w:rFonts w:ascii="Nirmala UI" w:eastAsia="Times New Roman" w:hAnsi="Nirmala UI" w:cs="Nirmala UI"/>
                <w:sz w:val="20"/>
                <w:szCs w:val="20"/>
              </w:rPr>
              <w:t>Planta piloto procesadora de alimentos</w:t>
            </w:r>
          </w:p>
        </w:tc>
      </w:tr>
    </w:tbl>
    <w:p w14:paraId="7079BF5C" w14:textId="77777777" w:rsidR="0031296B" w:rsidRPr="004F1002" w:rsidRDefault="0031296B" w:rsidP="0031296B">
      <w:pPr>
        <w:spacing w:before="100" w:beforeAutospacing="1" w:after="100" w:afterAutospacing="1"/>
        <w:outlineLvl w:val="2"/>
        <w:rPr>
          <w:rFonts w:ascii="Nirmala UI" w:eastAsia="Times New Roman" w:hAnsi="Nirmala UI" w:cs="Nirmala UI"/>
          <w:b/>
          <w:bCs/>
          <w:lang w:eastAsia="es-MX"/>
        </w:rPr>
      </w:pPr>
      <w:r w:rsidRPr="004F1002">
        <w:rPr>
          <w:rFonts w:ascii="Nirmala UI" w:eastAsia="Times New Roman" w:hAnsi="Nirmala UI" w:cs="Nirmala UI"/>
          <w:b/>
          <w:bCs/>
          <w:lang w:eastAsia="es-MX"/>
        </w:rPr>
        <w:t>2. Biblioteca y Tecnologías de la Información</w:t>
      </w:r>
    </w:p>
    <w:p w14:paraId="09AF2D3B" w14:textId="77777777" w:rsidR="0031296B" w:rsidRPr="00EB4771" w:rsidRDefault="0031296B" w:rsidP="0031296B">
      <w:pPr>
        <w:spacing w:before="100" w:beforeAutospacing="1"/>
        <w:outlineLvl w:val="3"/>
        <w:rPr>
          <w:rFonts w:ascii="Nirmala UI" w:eastAsia="Times New Roman" w:hAnsi="Nirmala UI" w:cs="Nirmala UI"/>
          <w:b/>
          <w:bCs/>
          <w:lang w:eastAsia="es-MX"/>
        </w:rPr>
      </w:pPr>
      <w:r w:rsidRPr="00EB4771">
        <w:rPr>
          <w:rFonts w:ascii="Nirmala UI" w:eastAsia="Times New Roman" w:hAnsi="Nirmala UI" w:cs="Nirmala UI"/>
          <w:b/>
          <w:bCs/>
          <w:lang w:eastAsia="es-MX"/>
        </w:rPr>
        <w:t>2.1 Biblioteca</w:t>
      </w:r>
    </w:p>
    <w:p w14:paraId="2066DDC4" w14:textId="77777777" w:rsidR="0031296B" w:rsidRPr="00B64F61" w:rsidRDefault="0031296B" w:rsidP="0031296B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lang w:val="es-419"/>
        </w:rPr>
        <w:t>El CIATEJ cuenta con un acervo de aproximadamente 7,300 volúmenes y 2,811 tesis de licenciatura y posgrado. Ofrece servicios de préstamo interno y externo, préstamo interbibliotecario, búsqueda de artículos científicos, elaboración de bibliografías, fotocopiado, impresión, mesas de trabajo. Asimismo, se tiene acceso a diferentes bases de datos bibliográficas y texto completo que se adquieren por medio de compras consorciadas Consorcios (</w:t>
      </w:r>
      <w:proofErr w:type="spellStart"/>
      <w:r w:rsidRPr="00B64F61">
        <w:rPr>
          <w:rFonts w:ascii="Nirmala UI" w:hAnsi="Nirmala UI" w:cs="Nirmala UI"/>
          <w:lang w:val="es-419"/>
        </w:rPr>
        <w:t>Ciberciencia</w:t>
      </w:r>
      <w:proofErr w:type="spellEnd"/>
      <w:r w:rsidRPr="00B64F61">
        <w:rPr>
          <w:rFonts w:ascii="Nirmala UI" w:hAnsi="Nirmala UI" w:cs="Nirmala UI"/>
          <w:lang w:val="es-419"/>
        </w:rPr>
        <w:t>) y recursos que se tenían por medio de CONRICYT, y que ahora esos recursos son coordinados para su gestión por un Centro Publico de Investigación.</w:t>
      </w:r>
    </w:p>
    <w:p w14:paraId="25567DEC" w14:textId="77777777" w:rsidR="0031296B" w:rsidRPr="00B64F61" w:rsidRDefault="0031296B" w:rsidP="0031296B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lang w:val="es-419"/>
        </w:rPr>
        <w:t>Los recursos electrónicos Bibliográficos como bases de datos referenciales y texto completo que se tienen actualmente se adquieren por medio de compras consorciadas y son:</w:t>
      </w:r>
    </w:p>
    <w:p w14:paraId="022998C9" w14:textId="103DF4B9" w:rsidR="0031296B" w:rsidRPr="00B64F61" w:rsidRDefault="0031296B" w:rsidP="00B45860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1.            ACS PUBLICATIONS</w:t>
      </w:r>
      <w:r w:rsidRPr="00B64F61">
        <w:rPr>
          <w:rFonts w:ascii="Nirmala UI" w:hAnsi="Nirmala UI" w:cs="Nirmala UI"/>
          <w:lang w:val="es-419"/>
        </w:rPr>
        <w:t>.</w:t>
      </w:r>
      <w:r>
        <w:rPr>
          <w:rFonts w:ascii="Nirmala UI" w:hAnsi="Nirmala UI" w:cs="Nirmala UI"/>
          <w:lang w:val="es-419"/>
        </w:rPr>
        <w:t xml:space="preserve"> </w:t>
      </w:r>
      <w:r w:rsidR="007B4D6B">
        <w:rPr>
          <w:rFonts w:ascii="Nirmala UI" w:hAnsi="Nirmala UI" w:cs="Nirmala UI"/>
          <w:lang w:val="es-419"/>
        </w:rPr>
        <w:t>B</w:t>
      </w:r>
      <w:r w:rsidRPr="00B64F61">
        <w:rPr>
          <w:rFonts w:ascii="Nirmala UI" w:hAnsi="Nirmala UI" w:cs="Nirmala UI"/>
          <w:lang w:val="es-419"/>
        </w:rPr>
        <w:t>rinda acceso completo a todas las revistas científicas de la ACS, sus libros digitales, noticias y archivos.</w:t>
      </w:r>
    </w:p>
    <w:p w14:paraId="10D70687" w14:textId="77777777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2.            DERWENT INNOVATION INDEX.</w:t>
      </w:r>
      <w:r>
        <w:rPr>
          <w:rFonts w:ascii="Nirmala UI" w:hAnsi="Nirmala UI" w:cs="Nirmala UI"/>
          <w:b/>
          <w:bCs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 xml:space="preserve">Es una plataforma en línea que contiene información de la colección de patentes, la información indexada en este recurso </w:t>
      </w:r>
      <w:r w:rsidRPr="00B64F61">
        <w:rPr>
          <w:rFonts w:ascii="Nirmala UI" w:hAnsi="Nirmala UI" w:cs="Nirmala UI"/>
          <w:lang w:val="es-419"/>
        </w:rPr>
        <w:lastRenderedPageBreak/>
        <w:t>proviene de más de 150 oficinas de patentes a nivel mundial, incluida WIPO, USPTO, IMPI, entre otras (Plataforma disponible en la Oficina de patentamiento del CIATEJ)</w:t>
      </w:r>
    </w:p>
    <w:p w14:paraId="242222AB" w14:textId="77777777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3.            ITHENTICATE de TURNITI</w:t>
      </w:r>
      <w:r>
        <w:rPr>
          <w:rFonts w:ascii="Nirmala UI" w:hAnsi="Nirmala UI" w:cs="Nirmala UI"/>
          <w:b/>
          <w:bCs/>
          <w:lang w:val="es-419"/>
        </w:rPr>
        <w:t xml:space="preserve">N. </w:t>
      </w:r>
      <w:r w:rsidRPr="00B64F61">
        <w:rPr>
          <w:rFonts w:ascii="Nirmala UI" w:hAnsi="Nirmala UI" w:cs="Nirmala UI"/>
          <w:lang w:val="es-419"/>
        </w:rPr>
        <w:t>Software para la identificación de plagio o duplicación de textos y actualmente con la nueva versión, para identificar si el texto este desarrollo con IA</w:t>
      </w:r>
    </w:p>
    <w:p w14:paraId="4C98B863" w14:textId="4B33E61E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 xml:space="preserve">4.            JSTOR colección </w:t>
      </w:r>
      <w:proofErr w:type="spellStart"/>
      <w:r w:rsidRPr="00B64F61">
        <w:rPr>
          <w:rFonts w:ascii="Nirmala UI" w:hAnsi="Nirmala UI" w:cs="Nirmala UI"/>
          <w:b/>
          <w:bCs/>
          <w:lang w:val="es-419"/>
        </w:rPr>
        <w:t>Life</w:t>
      </w:r>
      <w:proofErr w:type="spellEnd"/>
      <w:r w:rsidRPr="00B64F61">
        <w:rPr>
          <w:rFonts w:ascii="Nirmala UI" w:hAnsi="Nirmala UI" w:cs="Nirmala UI"/>
          <w:b/>
          <w:bCs/>
          <w:lang w:val="es-419"/>
        </w:rPr>
        <w:t xml:space="preserve"> </w:t>
      </w:r>
      <w:proofErr w:type="spellStart"/>
      <w:r w:rsidRPr="00B64F61">
        <w:rPr>
          <w:rFonts w:ascii="Nirmala UI" w:hAnsi="Nirmala UI" w:cs="Nirmala UI"/>
          <w:b/>
          <w:bCs/>
          <w:lang w:val="es-419"/>
        </w:rPr>
        <w:t>Science</w:t>
      </w:r>
      <w:proofErr w:type="spellEnd"/>
      <w:r w:rsidRPr="00B64F61">
        <w:rPr>
          <w:rFonts w:ascii="Nirmala UI" w:hAnsi="Nirmala UI" w:cs="Nirmala UI"/>
          <w:b/>
          <w:bCs/>
          <w:lang w:val="es-419"/>
        </w:rPr>
        <w:t xml:space="preserve">. </w:t>
      </w:r>
      <w:r w:rsidR="007B4D6B" w:rsidRPr="007B4D6B">
        <w:rPr>
          <w:rFonts w:ascii="Nirmala UI" w:hAnsi="Nirmala UI" w:cs="Nirmala UI"/>
          <w:lang w:val="es-419"/>
        </w:rPr>
        <w:t>A</w:t>
      </w:r>
      <w:r w:rsidRPr="007B4D6B">
        <w:rPr>
          <w:rFonts w:ascii="Nirmala UI" w:hAnsi="Nirmala UI" w:cs="Nirmala UI"/>
          <w:lang w:val="es-419"/>
        </w:rPr>
        <w:t>mplia gama</w:t>
      </w:r>
      <w:r w:rsidRPr="00B64F61">
        <w:rPr>
          <w:rFonts w:ascii="Nirmala UI" w:hAnsi="Nirmala UI" w:cs="Nirmala UI"/>
          <w:lang w:val="es-419"/>
        </w:rPr>
        <w:t xml:space="preserve"> de contenidos en un archivo digital de confianza de más de mil revistas académicas y otros contenidos académicos. </w:t>
      </w:r>
    </w:p>
    <w:p w14:paraId="19E685A2" w14:textId="77777777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5.            SCIENCE DIRECT Ciencias exactas.</w:t>
      </w:r>
      <w:r>
        <w:rPr>
          <w:rFonts w:ascii="Nirmala UI" w:hAnsi="Nirmala UI" w:cs="Nirmala UI"/>
          <w:b/>
          <w:bCs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>Colección principal de revistas en texto completo de Elsevier dentro del área de Ciencias Exactas y Naturales</w:t>
      </w:r>
      <w:r>
        <w:rPr>
          <w:rFonts w:ascii="Nirmala UI" w:hAnsi="Nirmala UI" w:cs="Nirmala UI"/>
          <w:lang w:val="es-419"/>
        </w:rPr>
        <w:t>.</w:t>
      </w:r>
    </w:p>
    <w:p w14:paraId="3BA15F42" w14:textId="7CFB8C4C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6.            SCOPUS</w:t>
      </w:r>
      <w:r>
        <w:rPr>
          <w:rFonts w:ascii="Nirmala UI" w:hAnsi="Nirmala UI" w:cs="Nirmala UI"/>
          <w:b/>
          <w:bCs/>
          <w:lang w:val="es-419"/>
        </w:rPr>
        <w:t>.</w:t>
      </w:r>
      <w:r w:rsidRPr="00B64F61">
        <w:rPr>
          <w:rFonts w:ascii="Nirmala UI" w:hAnsi="Nirmala UI" w:cs="Nirmala UI"/>
          <w:lang w:val="es-419"/>
        </w:rPr>
        <w:t xml:space="preserve"> Ofrece un exhaustivo resumen de los resultados de la investigación mundial en   los campos de la ciencia, la tecnología, la medicina, las ciencias sociales y las artes y humanidades</w:t>
      </w:r>
      <w:r w:rsidR="007B4D6B">
        <w:rPr>
          <w:rFonts w:ascii="Nirmala UI" w:hAnsi="Nirmala UI" w:cs="Nirmala UI"/>
          <w:lang w:val="es-419"/>
        </w:rPr>
        <w:t>.</w:t>
      </w:r>
    </w:p>
    <w:p w14:paraId="38D044CA" w14:textId="77777777" w:rsidR="0031296B" w:rsidRPr="00B64F61" w:rsidRDefault="0031296B" w:rsidP="00B45860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7.            SPRINGERLINKS</w:t>
      </w:r>
      <w:r w:rsidRPr="00B64F61">
        <w:rPr>
          <w:rFonts w:ascii="Nirmala UI" w:hAnsi="Nirmala UI" w:cs="Nirmala UI"/>
          <w:lang w:val="es-419"/>
        </w:rPr>
        <w:t>.</w:t>
      </w:r>
      <w:r>
        <w:rPr>
          <w:rFonts w:ascii="Nirmala UI" w:hAnsi="Nirmala UI" w:cs="Nirmala UI"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>Colección de publicaciones periódicas científicas y académicas, sobre temas relacionados con: Medicina, Ciencias de la Vida y Biomédica; Matemáticas y Estadística, Ciencias del Medioambiente y de la Tierra, Ciencias Materiales y Química; entre otras. Adicionalmente se cuenta con acceso a 546 títulos Open Access.</w:t>
      </w:r>
    </w:p>
    <w:p w14:paraId="28EBBCBF" w14:textId="77777777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8.            SPRINGER E-BOOKS</w:t>
      </w:r>
      <w:r>
        <w:rPr>
          <w:rFonts w:ascii="Nirmala UI" w:hAnsi="Nirmala UI" w:cs="Nirmala UI"/>
          <w:b/>
          <w:bCs/>
          <w:lang w:val="es-419"/>
        </w:rPr>
        <w:t xml:space="preserve">. </w:t>
      </w:r>
      <w:r w:rsidRPr="00B64F61">
        <w:rPr>
          <w:rFonts w:ascii="Nirmala UI" w:hAnsi="Nirmala UI" w:cs="Nirmala UI"/>
          <w:lang w:val="es-419"/>
        </w:rPr>
        <w:t>Este acervo incluye múltiples tipos de libros electrónicos que sirven a usuarios en los niveles de pregrado, posgrado e investigación: monografías, libros de texto, obras de referencia especializada, series, simposio de conferencias, libros profesionales</w:t>
      </w:r>
      <w:r>
        <w:rPr>
          <w:rFonts w:ascii="Nirmala UI" w:hAnsi="Nirmala UI" w:cs="Nirmala UI"/>
          <w:lang w:val="es-419"/>
        </w:rPr>
        <w:t>.</w:t>
      </w:r>
    </w:p>
    <w:p w14:paraId="76B4AA2C" w14:textId="3AB4048B" w:rsidR="0031296B" w:rsidRPr="00B64F61" w:rsidRDefault="0031296B" w:rsidP="00B45860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9.            PRINGER PROTOCOLS</w:t>
      </w:r>
      <w:r w:rsidRPr="00B64F61">
        <w:rPr>
          <w:rFonts w:ascii="Nirmala UI" w:hAnsi="Nirmala UI" w:cs="Nirmala UI"/>
          <w:lang w:val="es-419"/>
        </w:rPr>
        <w:t>.</w:t>
      </w:r>
      <w:r>
        <w:rPr>
          <w:rFonts w:ascii="Nirmala UI" w:hAnsi="Nirmala UI" w:cs="Nirmala UI"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 xml:space="preserve">4,000 protocolos en el área médico biológica, acceso a texto completo que se encuentran en series de libros, monografías y revistas académicas. </w:t>
      </w:r>
    </w:p>
    <w:p w14:paraId="0BF1626F" w14:textId="710D680F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10.          SPRINGER NATURE.</w:t>
      </w:r>
      <w:r>
        <w:rPr>
          <w:rFonts w:ascii="Nirmala UI" w:hAnsi="Nirmala UI" w:cs="Nirmala UI"/>
          <w:b/>
          <w:bCs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 xml:space="preserve">Que incluye un paquete de 14 </w:t>
      </w:r>
      <w:r w:rsidR="00073F97" w:rsidRPr="00B64F61">
        <w:rPr>
          <w:rFonts w:ascii="Nirmala UI" w:hAnsi="Nirmala UI" w:cs="Nirmala UI"/>
          <w:lang w:val="es-419"/>
        </w:rPr>
        <w:t>títulos</w:t>
      </w:r>
      <w:r w:rsidR="007B4D6B" w:rsidRPr="00B64F61">
        <w:rPr>
          <w:rFonts w:ascii="Nirmala UI" w:hAnsi="Nirmala UI" w:cs="Nirmala UI"/>
          <w:lang w:val="es-419"/>
        </w:rPr>
        <w:t xml:space="preserve"> especializados de la revista</w:t>
      </w:r>
      <w:r w:rsidRPr="00B64F61">
        <w:rPr>
          <w:rFonts w:ascii="Nirmala UI" w:hAnsi="Nirmala UI" w:cs="Nirmala UI"/>
          <w:lang w:val="es-419"/>
        </w:rPr>
        <w:t xml:space="preserve"> </w:t>
      </w:r>
      <w:proofErr w:type="spellStart"/>
      <w:r w:rsidR="007B4D6B">
        <w:rPr>
          <w:rFonts w:ascii="Nirmala UI" w:hAnsi="Nirmala UI" w:cs="Nirmala UI"/>
          <w:lang w:val="es-419"/>
        </w:rPr>
        <w:t>N</w:t>
      </w:r>
      <w:r w:rsidR="007B4D6B" w:rsidRPr="00B64F61">
        <w:rPr>
          <w:rFonts w:ascii="Nirmala UI" w:hAnsi="Nirmala UI" w:cs="Nirmala UI"/>
          <w:lang w:val="es-419"/>
        </w:rPr>
        <w:t>ature</w:t>
      </w:r>
      <w:proofErr w:type="spellEnd"/>
      <w:r w:rsidR="007B4D6B">
        <w:rPr>
          <w:rFonts w:ascii="Nirmala UI" w:hAnsi="Nirmala UI" w:cs="Nirmala UI"/>
          <w:lang w:val="es-419"/>
        </w:rPr>
        <w:t>.</w:t>
      </w:r>
    </w:p>
    <w:p w14:paraId="4659E6F5" w14:textId="704AB22C" w:rsidR="0031296B" w:rsidRPr="008723FF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11.          WEB OF SCIENCE.</w:t>
      </w:r>
      <w:r>
        <w:rPr>
          <w:rFonts w:ascii="Nirmala UI" w:hAnsi="Nirmala UI" w:cs="Nirmala UI"/>
          <w:b/>
          <w:bCs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 xml:space="preserve">Plataforma </w:t>
      </w:r>
      <w:r w:rsidR="007B4D6B">
        <w:rPr>
          <w:rFonts w:ascii="Nirmala UI" w:hAnsi="Nirmala UI" w:cs="Nirmala UI"/>
          <w:lang w:val="es-419"/>
        </w:rPr>
        <w:t>q</w:t>
      </w:r>
      <w:r w:rsidRPr="00B64F61">
        <w:rPr>
          <w:rFonts w:ascii="Nirmala UI" w:hAnsi="Nirmala UI" w:cs="Nirmala UI"/>
          <w:lang w:val="es-419"/>
        </w:rPr>
        <w:t>ue recoge, las referencias de las principales publicaciones científicas de cualquier disciplina de conocimiento, tanto científico como tecnológico, humanístico y sociológico desde 1945</w:t>
      </w:r>
      <w:r w:rsidR="00073F97">
        <w:rPr>
          <w:rFonts w:ascii="Nirmala UI" w:hAnsi="Nirmala UI" w:cs="Nirmala UI"/>
          <w:lang w:val="es-419"/>
        </w:rPr>
        <w:t>.</w:t>
      </w:r>
    </w:p>
    <w:p w14:paraId="01FE2C69" w14:textId="77777777" w:rsidR="0031296B" w:rsidRPr="00B64F61" w:rsidRDefault="0031296B" w:rsidP="00B45860">
      <w:pPr>
        <w:jc w:val="both"/>
        <w:rPr>
          <w:rFonts w:ascii="Nirmala UI" w:hAnsi="Nirmala UI" w:cs="Nirmala UI"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12.          WILEY ON LINE</w:t>
      </w:r>
      <w:r w:rsidRPr="00B64F61">
        <w:rPr>
          <w:rFonts w:ascii="Nirmala UI" w:hAnsi="Nirmala UI" w:cs="Nirmala UI"/>
          <w:lang w:val="es-419"/>
        </w:rPr>
        <w:t>.</w:t>
      </w:r>
      <w:r>
        <w:rPr>
          <w:rFonts w:ascii="Nirmala UI" w:hAnsi="Nirmala UI" w:cs="Nirmala UI"/>
          <w:lang w:val="es-419"/>
        </w:rPr>
        <w:t xml:space="preserve"> </w:t>
      </w:r>
      <w:r w:rsidRPr="00B64F61">
        <w:rPr>
          <w:rFonts w:ascii="Nirmala UI" w:hAnsi="Nirmala UI" w:cs="Nirmala UI"/>
          <w:lang w:val="es-419"/>
        </w:rPr>
        <w:t>Colección de Ciencia, Tecnología y Medicina, Revistas científicas multidisciplinarias en áreas de Ciencias de la Salud, Ciencias de la Vida y Ciencias Físicas e Ingenierías. Adicionalmente se cuenta con acceso a 251 títulos Open Access.</w:t>
      </w:r>
    </w:p>
    <w:p w14:paraId="0EFA5EBC" w14:textId="2A5B6B0E" w:rsidR="0031296B" w:rsidRPr="00801BF8" w:rsidRDefault="0031296B" w:rsidP="00B45860">
      <w:pPr>
        <w:jc w:val="both"/>
        <w:rPr>
          <w:rFonts w:ascii="Nirmala UI" w:hAnsi="Nirmala UI" w:cs="Nirmala UI"/>
          <w:b/>
          <w:bCs/>
          <w:lang w:val="es-419"/>
        </w:rPr>
      </w:pPr>
      <w:r w:rsidRPr="00B64F61">
        <w:rPr>
          <w:rFonts w:ascii="Nirmala UI" w:hAnsi="Nirmala UI" w:cs="Nirmala UI"/>
          <w:b/>
          <w:bCs/>
          <w:lang w:val="es-419"/>
        </w:rPr>
        <w:t>13.          TAYLOR &amp; FRANCIS ON LINE</w:t>
      </w:r>
      <w:r>
        <w:rPr>
          <w:rFonts w:ascii="Nirmala UI" w:hAnsi="Nirmala UI" w:cs="Nirmala UI"/>
          <w:b/>
          <w:bCs/>
          <w:lang w:val="es-419"/>
        </w:rPr>
        <w:t xml:space="preserve">. </w:t>
      </w:r>
      <w:r w:rsidRPr="00B64F61">
        <w:rPr>
          <w:rFonts w:ascii="Nirmala UI" w:hAnsi="Nirmala UI" w:cs="Nirmala UI"/>
          <w:lang w:val="es-419"/>
        </w:rPr>
        <w:t>Colección de publicaciones periódicas que se divide en dos colecciones, adicionalmente se cuenta con acceso a 119 títulos Open Access</w:t>
      </w:r>
      <w:r>
        <w:rPr>
          <w:rFonts w:ascii="Nirmala UI" w:hAnsi="Nirmala UI" w:cs="Nirmala UI"/>
          <w:lang w:val="es-419"/>
        </w:rPr>
        <w:t>.</w:t>
      </w:r>
    </w:p>
    <w:p w14:paraId="36111AAE" w14:textId="77777777" w:rsidR="0031296B" w:rsidRPr="00B64F61" w:rsidRDefault="0031296B" w:rsidP="0031296B">
      <w:pPr>
        <w:spacing w:before="100" w:beforeAutospacing="1"/>
        <w:outlineLvl w:val="3"/>
        <w:rPr>
          <w:rFonts w:ascii="Nirmala UI" w:eastAsia="Times New Roman" w:hAnsi="Nirmala UI" w:cs="Nirmala UI"/>
          <w:b/>
          <w:bCs/>
          <w:lang w:eastAsia="es-MX"/>
        </w:rPr>
      </w:pPr>
      <w:r w:rsidRPr="00B64F61">
        <w:rPr>
          <w:rFonts w:ascii="Nirmala UI" w:eastAsia="Times New Roman" w:hAnsi="Nirmala UI" w:cs="Nirmala UI"/>
          <w:b/>
          <w:bCs/>
          <w:lang w:eastAsia="es-MX"/>
        </w:rPr>
        <w:lastRenderedPageBreak/>
        <w:t>2.2 Redes y tecnologías de la información</w:t>
      </w:r>
    </w:p>
    <w:p w14:paraId="49396186" w14:textId="77777777" w:rsidR="0031296B" w:rsidRDefault="0031296B" w:rsidP="0031296B">
      <w:pPr>
        <w:spacing w:before="100" w:beforeAutospacing="1" w:after="100" w:afterAutospacing="1"/>
        <w:jc w:val="both"/>
        <w:rPr>
          <w:rFonts w:ascii="Nirmala UI" w:eastAsia="Times New Roman" w:hAnsi="Nirmala UI" w:cs="Nirmala UI"/>
          <w:lang w:eastAsia="es-MX"/>
        </w:rPr>
      </w:pPr>
      <w:r w:rsidRPr="00EB4771">
        <w:rPr>
          <w:rFonts w:ascii="Nirmala UI" w:eastAsia="Times New Roman" w:hAnsi="Nirmala UI" w:cs="Nirmala UI"/>
          <w:lang w:eastAsia="es-MX"/>
        </w:rPr>
        <w:t>El Centro dispone de infraestructura suficiente de voz y datos. Todo el personal académico cuenta con equipos de cómputo y los estudiantes tienen acceso a equipo institucional, software especializado (como MATLAB), bases de datos de patentes (Thomson) y salas de videoconferencia. La Unidad de Tecnologías de la Información brinda soporte técnico y respaldo oportuno de los sistemas institucionales.</w:t>
      </w:r>
    </w:p>
    <w:p w14:paraId="771B958B" w14:textId="4FCD8B8B" w:rsidR="0031296B" w:rsidRPr="00011CD8" w:rsidRDefault="007B4D6B" w:rsidP="0031296B">
      <w:r>
        <w:rPr>
          <w:noProof/>
        </w:rPr>
        <w:drawing>
          <wp:inline distT="0" distB="0" distL="0" distR="0" wp14:anchorId="1B6F3B33" wp14:editId="71518F2C">
            <wp:extent cx="5612130" cy="105283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4E67C" w14:textId="7301F140" w:rsidR="0031296B" w:rsidRDefault="007B4D6B" w:rsidP="0031296B">
      <w:pPr>
        <w:rPr>
          <w:noProof/>
        </w:rPr>
      </w:pPr>
      <w:r>
        <w:rPr>
          <w:noProof/>
        </w:rPr>
        <w:drawing>
          <wp:inline distT="0" distB="0" distL="0" distR="0" wp14:anchorId="2C9113D2" wp14:editId="54CF49B0">
            <wp:extent cx="5612130" cy="80137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B1FF5" w14:textId="45A88D58" w:rsidR="0031296B" w:rsidRDefault="007B4D6B" w:rsidP="0031296B">
      <w:r>
        <w:rPr>
          <w:noProof/>
        </w:rPr>
        <w:drawing>
          <wp:anchor distT="0" distB="0" distL="114300" distR="114300" simplePos="0" relativeHeight="251659264" behindDoc="0" locked="0" layoutInCell="1" allowOverlap="1" wp14:anchorId="00995835" wp14:editId="44269049">
            <wp:simplePos x="0" y="0"/>
            <wp:positionH relativeFrom="margin">
              <wp:posOffset>17813</wp:posOffset>
            </wp:positionH>
            <wp:positionV relativeFrom="paragraph">
              <wp:posOffset>6457</wp:posOffset>
            </wp:positionV>
            <wp:extent cx="2317750" cy="1041400"/>
            <wp:effectExtent l="0" t="0" r="635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56C4BEB" wp14:editId="5EA2071B">
            <wp:simplePos x="0" y="0"/>
            <wp:positionH relativeFrom="margin">
              <wp:align>right</wp:align>
            </wp:positionH>
            <wp:positionV relativeFrom="paragraph">
              <wp:posOffset>7068</wp:posOffset>
            </wp:positionV>
            <wp:extent cx="3226435" cy="984250"/>
            <wp:effectExtent l="0" t="0" r="0" b="635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5A5B1" w14:textId="6916DB59" w:rsidR="0031296B" w:rsidRPr="00011CD8" w:rsidRDefault="0031296B" w:rsidP="0031296B"/>
    <w:p w14:paraId="588226CE" w14:textId="03775C25" w:rsidR="0031296B" w:rsidRDefault="0031296B" w:rsidP="0031296B"/>
    <w:p w14:paraId="14178CD2" w14:textId="77777777" w:rsidR="0031296B" w:rsidRDefault="0031296B" w:rsidP="0031296B">
      <w:r>
        <w:rPr>
          <w:noProof/>
        </w:rPr>
        <w:drawing>
          <wp:inline distT="0" distB="0" distL="0" distR="0" wp14:anchorId="03FEAC71" wp14:editId="5C2A0ABE">
            <wp:extent cx="5612130" cy="229489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9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221EA" w14:textId="77777777" w:rsidR="0031296B" w:rsidRPr="00011CD8" w:rsidRDefault="0031296B" w:rsidP="0031296B">
      <w:pPr>
        <w:ind w:firstLine="708"/>
      </w:pPr>
    </w:p>
    <w:p w14:paraId="295BEEBE" w14:textId="77777777" w:rsidR="0031296B" w:rsidRPr="00011CD8" w:rsidRDefault="0031296B" w:rsidP="0031296B"/>
    <w:p w14:paraId="46E2B59B" w14:textId="77777777" w:rsidR="0031296B" w:rsidRDefault="0031296B" w:rsidP="0031296B"/>
    <w:p w14:paraId="025DD933" w14:textId="77777777" w:rsidR="0031296B" w:rsidRPr="00336582" w:rsidRDefault="0031296B" w:rsidP="0031296B">
      <w:pPr>
        <w:tabs>
          <w:tab w:val="left" w:pos="6330"/>
        </w:tabs>
      </w:pPr>
      <w:r>
        <w:tab/>
      </w:r>
    </w:p>
    <w:p w14:paraId="17181664" w14:textId="77777777" w:rsidR="00D055F5" w:rsidRPr="0031296B" w:rsidRDefault="00D055F5" w:rsidP="0031296B"/>
    <w:sectPr w:rsidR="00D055F5" w:rsidRPr="0031296B" w:rsidSect="00A73D65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2E06" w14:textId="77777777" w:rsidR="00D86E87" w:rsidRDefault="00D86E87" w:rsidP="00A73D65">
      <w:r>
        <w:separator/>
      </w:r>
    </w:p>
  </w:endnote>
  <w:endnote w:type="continuationSeparator" w:id="0">
    <w:p w14:paraId="1B11662E" w14:textId="77777777" w:rsidR="00D86E87" w:rsidRDefault="00D86E87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8361" w14:textId="5688B21B" w:rsidR="00FD1854" w:rsidRDefault="00BF379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609D6A" wp14:editId="0A4B6DE7">
              <wp:simplePos x="0" y="0"/>
              <wp:positionH relativeFrom="column">
                <wp:posOffset>1248286</wp:posOffset>
              </wp:positionH>
              <wp:positionV relativeFrom="paragraph">
                <wp:posOffset>-472014</wp:posOffset>
              </wp:positionV>
              <wp:extent cx="5005633" cy="216602"/>
              <wp:effectExtent l="0" t="0" r="0" b="0"/>
              <wp:wrapNone/>
              <wp:docPr id="727452448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5633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21F498" w14:textId="77777777" w:rsidR="007E184A" w:rsidRPr="00762CB9" w:rsidRDefault="007E184A" w:rsidP="007E184A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59B15790" w14:textId="77777777" w:rsidR="007E184A" w:rsidRPr="00D30C72" w:rsidRDefault="007E184A" w:rsidP="007E184A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  <w:p w14:paraId="1DF66BD5" w14:textId="77777777" w:rsidR="00BF379D" w:rsidRPr="0066676F" w:rsidRDefault="00BF379D" w:rsidP="00BF379D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609D6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98.3pt;margin-top:-37.15pt;width:394.15pt;height:1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" filled="f" stroked="f" strokeweight=".5pt">
              <v:textbox>
                <w:txbxContent>
                  <w:p w14:paraId="4821F498" w14:textId="77777777" w:rsidR="007E184A" w:rsidRPr="00762CB9" w:rsidRDefault="007E184A" w:rsidP="007E184A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59B15790" w14:textId="77777777" w:rsidR="007E184A" w:rsidRPr="00D30C72" w:rsidRDefault="007E184A" w:rsidP="007E184A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  <w:p w14:paraId="1DF66BD5" w14:textId="77777777" w:rsidR="00BF379D" w:rsidRPr="0066676F" w:rsidRDefault="00BF379D" w:rsidP="00BF379D">
                    <w:pPr>
                      <w:rPr>
                        <w:rFonts w:ascii="Noto Sans Medium" w:hAnsi="Noto Sans Medium" w:cs="Noto Sans Medium"/>
                        <w:color w:val="4D182A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2265386C">
              <wp:simplePos x="0" y="0"/>
              <wp:positionH relativeFrom="column">
                <wp:posOffset>1162622</wp:posOffset>
              </wp:positionH>
              <wp:positionV relativeFrom="paragraph">
                <wp:posOffset>-432435</wp:posOffset>
              </wp:positionV>
              <wp:extent cx="5467020" cy="216602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7020" cy="21660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8F381D" w14:textId="77777777" w:rsidR="00762CB9" w:rsidRPr="00762CB9" w:rsidRDefault="00762CB9" w:rsidP="00762CB9">
                          <w:pPr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</w:pPr>
                          <w:r w:rsidRPr="00762CB9">
                            <w:rPr>
                              <w:rFonts w:ascii="Noto Sans" w:hAnsi="Noto Sans" w:cs="Noto Sans"/>
                              <w:color w:val="4D182A"/>
                              <w:sz w:val="13"/>
                              <w:szCs w:val="13"/>
                            </w:rPr>
                            <w:t>Av. Normalistas No. 800, Colinas de La Normal, CP. 44270, Guadalajara, Jal., México. Tel: (33) 3345 5200 www.ciatej.mxt</w:t>
                          </w:r>
                        </w:p>
                        <w:p w14:paraId="18D71277" w14:textId="49F7C8FB" w:rsidR="00B87C85" w:rsidRPr="00D30C72" w:rsidRDefault="00B87C85" w:rsidP="00904CC6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1.55pt;margin-top:-34.05pt;width:430.45pt;height:1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" filled="f" stroked="f" strokeweight=".5pt">
              <v:textbox>
                <w:txbxContent>
                  <w:p w14:paraId="168F381D" w14:textId="77777777" w:rsidR="00762CB9" w:rsidRPr="00762CB9" w:rsidRDefault="00762CB9" w:rsidP="00762CB9">
                    <w:pPr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</w:pPr>
                    <w:r w:rsidRPr="00762CB9">
                      <w:rPr>
                        <w:rFonts w:ascii="Noto Sans" w:hAnsi="Noto Sans" w:cs="Noto Sans"/>
                        <w:color w:val="4D182A"/>
                        <w:sz w:val="13"/>
                        <w:szCs w:val="13"/>
                      </w:rPr>
                      <w:t>Av. Normalistas No. 800, Colinas de La Normal, CP. 44270, Guadalajara, Jal., México. Tel: (33) 3345 5200 www.ciatej.mxt</w:t>
                    </w:r>
                  </w:p>
                  <w:p w14:paraId="18D71277" w14:textId="49F7C8FB" w:rsidR="00B87C85" w:rsidRPr="00D30C72" w:rsidRDefault="00B87C85" w:rsidP="00904CC6">
                    <w:pPr>
                      <w:rPr>
                        <w:rFonts w:ascii="Noto Sans Medium" w:hAnsi="Noto Sans Medium" w:cs="Noto Sans Medium"/>
                        <w:color w:val="4D182A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62C25" w14:textId="77777777" w:rsidR="00D86E87" w:rsidRDefault="00D86E87" w:rsidP="00A73D65">
      <w:r>
        <w:separator/>
      </w:r>
    </w:p>
  </w:footnote>
  <w:footnote w:type="continuationSeparator" w:id="0">
    <w:p w14:paraId="152CA2CE" w14:textId="77777777" w:rsidR="00D86E87" w:rsidRDefault="00D86E87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0B2E" w14:textId="1C968C15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592103A5">
          <wp:simplePos x="0" y="0"/>
          <wp:positionH relativeFrom="column">
            <wp:posOffset>-1062882</wp:posOffset>
          </wp:positionH>
          <wp:positionV relativeFrom="paragraph">
            <wp:posOffset>-449580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E181" w14:textId="5F525454" w:rsidR="00A73D65" w:rsidRPr="00B67AB0" w:rsidRDefault="00B67AB0" w:rsidP="00B67AB0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47A1638" wp14:editId="2FA02340">
          <wp:simplePos x="0" y="0"/>
          <wp:positionH relativeFrom="column">
            <wp:posOffset>-1101075</wp:posOffset>
          </wp:positionH>
          <wp:positionV relativeFrom="paragraph">
            <wp:posOffset>-470520</wp:posOffset>
          </wp:positionV>
          <wp:extent cx="7800030" cy="10094156"/>
          <wp:effectExtent l="0" t="0" r="0" b="254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30" cy="10094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27279D"/>
    <w:multiLevelType w:val="hybridMultilevel"/>
    <w:tmpl w:val="A2B04D2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66846"/>
    <w:multiLevelType w:val="multilevel"/>
    <w:tmpl w:val="098E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E37CE"/>
    <w:multiLevelType w:val="hybridMultilevel"/>
    <w:tmpl w:val="221012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53C72"/>
    <w:multiLevelType w:val="multilevel"/>
    <w:tmpl w:val="AA703EE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0ECE3AA5"/>
    <w:multiLevelType w:val="hybridMultilevel"/>
    <w:tmpl w:val="139A6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84A04"/>
    <w:multiLevelType w:val="multilevel"/>
    <w:tmpl w:val="9A3C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2344C8"/>
    <w:multiLevelType w:val="multilevel"/>
    <w:tmpl w:val="E0721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9247A"/>
    <w:multiLevelType w:val="multilevel"/>
    <w:tmpl w:val="0E8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CC654"/>
    <w:multiLevelType w:val="hybridMultilevel"/>
    <w:tmpl w:val="3F53E8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FF97770"/>
    <w:multiLevelType w:val="hybridMultilevel"/>
    <w:tmpl w:val="98EAF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D6E80"/>
    <w:multiLevelType w:val="multilevel"/>
    <w:tmpl w:val="F822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4B8F0"/>
    <w:multiLevelType w:val="hybridMultilevel"/>
    <w:tmpl w:val="972E7A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5C32A6"/>
    <w:multiLevelType w:val="hybridMultilevel"/>
    <w:tmpl w:val="EAC88C6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C5F49"/>
    <w:multiLevelType w:val="hybridMultilevel"/>
    <w:tmpl w:val="65143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32381"/>
    <w:multiLevelType w:val="hybridMultilevel"/>
    <w:tmpl w:val="70FA9A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54BFA"/>
    <w:multiLevelType w:val="hybridMultilevel"/>
    <w:tmpl w:val="D56077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7238B"/>
    <w:multiLevelType w:val="hybridMultilevel"/>
    <w:tmpl w:val="787EF5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57919"/>
    <w:multiLevelType w:val="hybridMultilevel"/>
    <w:tmpl w:val="0ADAC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26019"/>
    <w:multiLevelType w:val="hybridMultilevel"/>
    <w:tmpl w:val="C6DEC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C39B8"/>
    <w:multiLevelType w:val="multilevel"/>
    <w:tmpl w:val="EC34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B387B"/>
    <w:multiLevelType w:val="hybridMultilevel"/>
    <w:tmpl w:val="35742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4F5EE2"/>
    <w:multiLevelType w:val="hybridMultilevel"/>
    <w:tmpl w:val="3BF493AE"/>
    <w:lvl w:ilvl="0" w:tplc="AD425A58">
      <w:start w:val="1"/>
      <w:numFmt w:val="decimal"/>
      <w:lvlText w:val="%1."/>
      <w:lvlJc w:val="left"/>
      <w:pPr>
        <w:ind w:left="1347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7" w:hanging="360"/>
      </w:pPr>
    </w:lvl>
    <w:lvl w:ilvl="2" w:tplc="080A001B" w:tentative="1">
      <w:start w:val="1"/>
      <w:numFmt w:val="lowerRoman"/>
      <w:lvlText w:val="%3."/>
      <w:lvlJc w:val="right"/>
      <w:pPr>
        <w:ind w:left="2587" w:hanging="180"/>
      </w:pPr>
    </w:lvl>
    <w:lvl w:ilvl="3" w:tplc="080A000F" w:tentative="1">
      <w:start w:val="1"/>
      <w:numFmt w:val="decimal"/>
      <w:lvlText w:val="%4."/>
      <w:lvlJc w:val="left"/>
      <w:pPr>
        <w:ind w:left="3307" w:hanging="360"/>
      </w:pPr>
    </w:lvl>
    <w:lvl w:ilvl="4" w:tplc="080A0019" w:tentative="1">
      <w:start w:val="1"/>
      <w:numFmt w:val="lowerLetter"/>
      <w:lvlText w:val="%5."/>
      <w:lvlJc w:val="left"/>
      <w:pPr>
        <w:ind w:left="4027" w:hanging="360"/>
      </w:pPr>
    </w:lvl>
    <w:lvl w:ilvl="5" w:tplc="080A001B" w:tentative="1">
      <w:start w:val="1"/>
      <w:numFmt w:val="lowerRoman"/>
      <w:lvlText w:val="%6."/>
      <w:lvlJc w:val="right"/>
      <w:pPr>
        <w:ind w:left="4747" w:hanging="180"/>
      </w:pPr>
    </w:lvl>
    <w:lvl w:ilvl="6" w:tplc="080A000F" w:tentative="1">
      <w:start w:val="1"/>
      <w:numFmt w:val="decimal"/>
      <w:lvlText w:val="%7."/>
      <w:lvlJc w:val="left"/>
      <w:pPr>
        <w:ind w:left="5467" w:hanging="360"/>
      </w:pPr>
    </w:lvl>
    <w:lvl w:ilvl="7" w:tplc="080A0019" w:tentative="1">
      <w:start w:val="1"/>
      <w:numFmt w:val="lowerLetter"/>
      <w:lvlText w:val="%8."/>
      <w:lvlJc w:val="left"/>
      <w:pPr>
        <w:ind w:left="6187" w:hanging="360"/>
      </w:pPr>
    </w:lvl>
    <w:lvl w:ilvl="8" w:tplc="080A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2" w15:restartNumberingAfterBreak="0">
    <w:nsid w:val="772344D7"/>
    <w:multiLevelType w:val="hybridMultilevel"/>
    <w:tmpl w:val="3E70B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102EF"/>
    <w:multiLevelType w:val="hybridMultilevel"/>
    <w:tmpl w:val="892ABA3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675B93"/>
    <w:multiLevelType w:val="hybridMultilevel"/>
    <w:tmpl w:val="D0664D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23"/>
  </w:num>
  <w:num w:numId="5">
    <w:abstractNumId w:val="11"/>
  </w:num>
  <w:num w:numId="6">
    <w:abstractNumId w:val="0"/>
  </w:num>
  <w:num w:numId="7">
    <w:abstractNumId w:val="8"/>
  </w:num>
  <w:num w:numId="8">
    <w:abstractNumId w:val="13"/>
  </w:num>
  <w:num w:numId="9">
    <w:abstractNumId w:val="14"/>
  </w:num>
  <w:num w:numId="10">
    <w:abstractNumId w:val="4"/>
  </w:num>
  <w:num w:numId="11">
    <w:abstractNumId w:val="9"/>
  </w:num>
  <w:num w:numId="12">
    <w:abstractNumId w:val="17"/>
  </w:num>
  <w:num w:numId="13">
    <w:abstractNumId w:val="16"/>
  </w:num>
  <w:num w:numId="14">
    <w:abstractNumId w:val="18"/>
  </w:num>
  <w:num w:numId="15">
    <w:abstractNumId w:val="3"/>
  </w:num>
  <w:num w:numId="16">
    <w:abstractNumId w:val="22"/>
  </w:num>
  <w:num w:numId="17">
    <w:abstractNumId w:val="24"/>
  </w:num>
  <w:num w:numId="18">
    <w:abstractNumId w:val="15"/>
  </w:num>
  <w:num w:numId="19">
    <w:abstractNumId w:val="1"/>
  </w:num>
  <w:num w:numId="20">
    <w:abstractNumId w:val="7"/>
  </w:num>
  <w:num w:numId="21">
    <w:abstractNumId w:val="6"/>
  </w:num>
  <w:num w:numId="22">
    <w:abstractNumId w:val="5"/>
  </w:num>
  <w:num w:numId="23">
    <w:abstractNumId w:val="10"/>
  </w:num>
  <w:num w:numId="24">
    <w:abstractNumId w:val="1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60F0A"/>
    <w:rsid w:val="00073F97"/>
    <w:rsid w:val="000B284F"/>
    <w:rsid w:val="00134EEA"/>
    <w:rsid w:val="00156A3E"/>
    <w:rsid w:val="00161740"/>
    <w:rsid w:val="00180A38"/>
    <w:rsid w:val="00184325"/>
    <w:rsid w:val="00245F66"/>
    <w:rsid w:val="00256B1D"/>
    <w:rsid w:val="002871E1"/>
    <w:rsid w:val="00287588"/>
    <w:rsid w:val="0029542D"/>
    <w:rsid w:val="002C293A"/>
    <w:rsid w:val="002D60F5"/>
    <w:rsid w:val="002E2142"/>
    <w:rsid w:val="002E2B5E"/>
    <w:rsid w:val="0030476A"/>
    <w:rsid w:val="00305182"/>
    <w:rsid w:val="0031296B"/>
    <w:rsid w:val="00312E2C"/>
    <w:rsid w:val="003542BA"/>
    <w:rsid w:val="00363222"/>
    <w:rsid w:val="00370465"/>
    <w:rsid w:val="003D416E"/>
    <w:rsid w:val="003E1335"/>
    <w:rsid w:val="003F0587"/>
    <w:rsid w:val="003F49A8"/>
    <w:rsid w:val="004027DE"/>
    <w:rsid w:val="004543B0"/>
    <w:rsid w:val="00454479"/>
    <w:rsid w:val="00473DC5"/>
    <w:rsid w:val="00477F45"/>
    <w:rsid w:val="004A4C4E"/>
    <w:rsid w:val="004B07B0"/>
    <w:rsid w:val="004D146C"/>
    <w:rsid w:val="004E5574"/>
    <w:rsid w:val="00582E02"/>
    <w:rsid w:val="00583014"/>
    <w:rsid w:val="005A1743"/>
    <w:rsid w:val="005C1A7C"/>
    <w:rsid w:val="005D14D4"/>
    <w:rsid w:val="005F3347"/>
    <w:rsid w:val="00612542"/>
    <w:rsid w:val="00626EE3"/>
    <w:rsid w:val="00631824"/>
    <w:rsid w:val="006322C1"/>
    <w:rsid w:val="00643DE8"/>
    <w:rsid w:val="0066676F"/>
    <w:rsid w:val="0067208B"/>
    <w:rsid w:val="00681882"/>
    <w:rsid w:val="006A0DFE"/>
    <w:rsid w:val="006C0425"/>
    <w:rsid w:val="006C16F5"/>
    <w:rsid w:val="006C3B4E"/>
    <w:rsid w:val="00714C0D"/>
    <w:rsid w:val="00733712"/>
    <w:rsid w:val="007421E3"/>
    <w:rsid w:val="00762CB9"/>
    <w:rsid w:val="007738F7"/>
    <w:rsid w:val="0078195E"/>
    <w:rsid w:val="007B09D7"/>
    <w:rsid w:val="007B4D6B"/>
    <w:rsid w:val="007B74AD"/>
    <w:rsid w:val="007D77D1"/>
    <w:rsid w:val="007E184A"/>
    <w:rsid w:val="007E2AC8"/>
    <w:rsid w:val="007E5888"/>
    <w:rsid w:val="00831EE7"/>
    <w:rsid w:val="00834146"/>
    <w:rsid w:val="00847993"/>
    <w:rsid w:val="008C0FE7"/>
    <w:rsid w:val="00904CC6"/>
    <w:rsid w:val="009066A7"/>
    <w:rsid w:val="00906743"/>
    <w:rsid w:val="00907F1C"/>
    <w:rsid w:val="00917935"/>
    <w:rsid w:val="00932C27"/>
    <w:rsid w:val="00935609"/>
    <w:rsid w:val="00937456"/>
    <w:rsid w:val="00937C98"/>
    <w:rsid w:val="00942415"/>
    <w:rsid w:val="00973FB2"/>
    <w:rsid w:val="00976253"/>
    <w:rsid w:val="00991DCF"/>
    <w:rsid w:val="009C12D6"/>
    <w:rsid w:val="009F2BA1"/>
    <w:rsid w:val="00A0555C"/>
    <w:rsid w:val="00A07674"/>
    <w:rsid w:val="00A2021A"/>
    <w:rsid w:val="00A301D7"/>
    <w:rsid w:val="00A314BF"/>
    <w:rsid w:val="00A363E2"/>
    <w:rsid w:val="00A5108A"/>
    <w:rsid w:val="00A57FF1"/>
    <w:rsid w:val="00A73D65"/>
    <w:rsid w:val="00A9662E"/>
    <w:rsid w:val="00AB125D"/>
    <w:rsid w:val="00B00F5A"/>
    <w:rsid w:val="00B21938"/>
    <w:rsid w:val="00B45860"/>
    <w:rsid w:val="00B541BC"/>
    <w:rsid w:val="00B67AB0"/>
    <w:rsid w:val="00B72D65"/>
    <w:rsid w:val="00B87C85"/>
    <w:rsid w:val="00BB21A6"/>
    <w:rsid w:val="00BB2DFF"/>
    <w:rsid w:val="00BC43BD"/>
    <w:rsid w:val="00BC51E0"/>
    <w:rsid w:val="00BF379D"/>
    <w:rsid w:val="00BF68B8"/>
    <w:rsid w:val="00C02E98"/>
    <w:rsid w:val="00C1416F"/>
    <w:rsid w:val="00C23B9E"/>
    <w:rsid w:val="00C279A3"/>
    <w:rsid w:val="00C30849"/>
    <w:rsid w:val="00C465FE"/>
    <w:rsid w:val="00C5397E"/>
    <w:rsid w:val="00C62870"/>
    <w:rsid w:val="00C67047"/>
    <w:rsid w:val="00C80084"/>
    <w:rsid w:val="00C90CED"/>
    <w:rsid w:val="00CB7D4F"/>
    <w:rsid w:val="00CE2746"/>
    <w:rsid w:val="00CE3E99"/>
    <w:rsid w:val="00CF3975"/>
    <w:rsid w:val="00D055F5"/>
    <w:rsid w:val="00D1354D"/>
    <w:rsid w:val="00D30C72"/>
    <w:rsid w:val="00D84E05"/>
    <w:rsid w:val="00D86E87"/>
    <w:rsid w:val="00DB53A4"/>
    <w:rsid w:val="00DC18FA"/>
    <w:rsid w:val="00DC4A22"/>
    <w:rsid w:val="00DE3FEC"/>
    <w:rsid w:val="00E05157"/>
    <w:rsid w:val="00E155A4"/>
    <w:rsid w:val="00E5146D"/>
    <w:rsid w:val="00E809E4"/>
    <w:rsid w:val="00E93867"/>
    <w:rsid w:val="00EA423B"/>
    <w:rsid w:val="00EB407F"/>
    <w:rsid w:val="00EE053F"/>
    <w:rsid w:val="00F10D03"/>
    <w:rsid w:val="00F24915"/>
    <w:rsid w:val="00F26829"/>
    <w:rsid w:val="00F401F9"/>
    <w:rsid w:val="00F745B2"/>
    <w:rsid w:val="00F945F2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Prrafodelista">
    <w:name w:val="List Paragraph"/>
    <w:basedOn w:val="Normal"/>
    <w:uiPriority w:val="34"/>
    <w:qFormat/>
    <w:rsid w:val="003542B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3542B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42B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3542BA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4027D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CE2746"/>
    <w:rPr>
      <w:rFonts w:eastAsiaTheme="minorEastAsia"/>
      <w:lang w:val="es-ES_tradnl" w:eastAsia="es-ES"/>
    </w:rPr>
  </w:style>
  <w:style w:type="table" w:styleId="Tablaconcuadrcula">
    <w:name w:val="Table Grid"/>
    <w:basedOn w:val="Tablanormal"/>
    <w:uiPriority w:val="59"/>
    <w:rsid w:val="00C80084"/>
    <w:rPr>
      <w:rFonts w:eastAsiaTheme="minorEastAsia"/>
      <w:sz w:val="22"/>
      <w:szCs w:val="22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demensaje">
    <w:name w:val="Message Header"/>
    <w:basedOn w:val="Textoindependiente"/>
    <w:link w:val="EncabezadodemensajeCar"/>
    <w:rsid w:val="00582E02"/>
    <w:pPr>
      <w:keepLines/>
      <w:spacing w:line="180" w:lineRule="atLeast"/>
      <w:ind w:left="1555" w:hanging="720"/>
    </w:pPr>
    <w:rPr>
      <w:rFonts w:ascii="Arial" w:eastAsia="Malgun Gothic" w:hAnsi="Arial" w:cs="Times New Roman"/>
      <w:spacing w:val="-5"/>
      <w:sz w:val="20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582E02"/>
    <w:rPr>
      <w:rFonts w:ascii="Arial" w:eastAsia="Malgun Gothic" w:hAnsi="Arial" w:cs="Times New Roman"/>
      <w:spacing w:val="-5"/>
      <w:sz w:val="20"/>
      <w:szCs w:val="20"/>
      <w:lang w:val="es-ES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582E02"/>
    <w:pPr>
      <w:spacing w:before="220"/>
    </w:pPr>
  </w:style>
  <w:style w:type="character" w:customStyle="1" w:styleId="Rtulodeencabezadodemensaje">
    <w:name w:val="Rótulo de encabezado de mensaje"/>
    <w:rsid w:val="00582E02"/>
    <w:rPr>
      <w:rFonts w:ascii="Arial Black" w:hAnsi="Arial Black"/>
      <w:spacing w:val="-10"/>
      <w:sz w:val="18"/>
      <w:lang w:bidi="ar-SA"/>
    </w:rPr>
  </w:style>
  <w:style w:type="paragraph" w:customStyle="1" w:styleId="Encabezadodemensaje-ltima">
    <w:name w:val="Encabezado de mensaje - última"/>
    <w:basedOn w:val="Encabezadodemensaje"/>
    <w:next w:val="Textoindependiente"/>
    <w:rsid w:val="00582E02"/>
    <w:pPr>
      <w:pBdr>
        <w:bottom w:val="single" w:sz="6" w:space="15" w:color="auto"/>
      </w:pBdr>
      <w:spacing w:after="320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82E0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82E02"/>
    <w:rPr>
      <w:rFonts w:eastAsiaTheme="minorEastAsia"/>
      <w:lang w:val="es-ES"/>
    </w:rPr>
  </w:style>
  <w:style w:type="paragraph" w:customStyle="1" w:styleId="Default">
    <w:name w:val="Default"/>
    <w:rsid w:val="00E5146D"/>
    <w:pPr>
      <w:autoSpaceDE w:val="0"/>
      <w:autoSpaceDN w:val="0"/>
      <w:adjustRightInd w:val="0"/>
    </w:pPr>
    <w:rPr>
      <w:rFonts w:ascii="Noto Sans" w:hAnsi="Noto Sans" w:cs="Noto San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63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3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7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58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48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5439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9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611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239528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1124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82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3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6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0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53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0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15337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067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48230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741943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5557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4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1232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Fatima  Gabriela Ordoñez de la Cruz</cp:lastModifiedBy>
  <cp:revision>2</cp:revision>
  <dcterms:created xsi:type="dcterms:W3CDTF">2025-11-10T21:38:00Z</dcterms:created>
  <dcterms:modified xsi:type="dcterms:W3CDTF">2025-11-10T21:38:00Z</dcterms:modified>
</cp:coreProperties>
</file>