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10C0" w14:textId="77777777" w:rsidR="009012EE" w:rsidRPr="009012EE" w:rsidRDefault="009012EE" w:rsidP="009012EE">
      <w:pPr>
        <w:spacing w:before="100" w:beforeAutospacing="1" w:after="100" w:afterAutospacing="1"/>
        <w:outlineLvl w:val="0"/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</w:pPr>
      <w:r w:rsidRPr="009012EE">
        <w:rPr>
          <w:rFonts w:ascii="Nirmala UI" w:eastAsia="Times New Roman" w:hAnsi="Nirmala UI" w:cs="Nirmala UI"/>
          <w:b/>
          <w:bCs/>
          <w:kern w:val="36"/>
          <w:sz w:val="28"/>
          <w:szCs w:val="28"/>
          <w:lang w:val="es-MX" w:eastAsia="es-MX"/>
        </w:rPr>
        <w:t>Congruencia y vinculación del programa con las problemáticas, sectores y temas prioritarios para el desarrollo de la región y de México</w:t>
      </w:r>
    </w:p>
    <w:p w14:paraId="77655E81" w14:textId="77777777" w:rsidR="009012EE" w:rsidRPr="009012EE" w:rsidRDefault="009012EE" w:rsidP="009012EE">
      <w:pPr>
        <w:spacing w:before="100" w:beforeAutospacing="1" w:after="100" w:afterAutospacing="1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9012EE">
        <w:rPr>
          <w:rFonts w:ascii="Nirmala UI" w:eastAsia="Times New Roman" w:hAnsi="Nirmala UI" w:cs="Nirmala UI"/>
          <w:b/>
          <w:bCs/>
          <w:lang w:val="es-MX" w:eastAsia="es-MX"/>
        </w:rPr>
        <w:t>I. Introducción</w:t>
      </w:r>
    </w:p>
    <w:p w14:paraId="5D490E4B" w14:textId="56B62D16" w:rsid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La Maestría en Ciencias en Innovación Biotecnológica del CIATEJ constituye una propuesta educativa estratégica orientada al fortalecimiento del desarrollo científico y tecnológico nacional. Su objetivo general —formar recursos humanos de alto nivel con un sólido soporte científico-tecnológico y ética profesional, capaces de aplicar la biotecnología a la solución de problemas nacionales— evidencia su pertinencia frente a las necesidades de desarrollo del país.</w:t>
      </w:r>
    </w:p>
    <w:p w14:paraId="06E76304" w14:textId="0BB5ECC6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El programa, aprobado en 2013 e implementado a partir de 2015, se reestructuró en 2021 para responder a las nuevas demandas globales y nacionales en materia de sustentabilidad, soberanía alimentaria, salud pública e innovación industrial, en alineación con los Objetivos de Desarrollo Sostenible (ODS), la Política Nacional de Ciencia, Tecnología e Innovación y los programas prioritarios del Plan Nacional de Desarrollo 2019–2024.</w:t>
      </w:r>
    </w:p>
    <w:p w14:paraId="07D9B310" w14:textId="7B913125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 xml:space="preserve">La estructura curricular y las tres líneas </w:t>
      </w:r>
      <w:r>
        <w:rPr>
          <w:rFonts w:ascii="Nirmala UI" w:eastAsia="Times New Roman" w:hAnsi="Nirmala UI" w:cs="Nirmala UI"/>
          <w:lang w:val="es-MX" w:eastAsia="es-MX"/>
        </w:rPr>
        <w:t>de investigación e incidencia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 (</w:t>
      </w:r>
      <w:r>
        <w:rPr>
          <w:rFonts w:ascii="Nirmala UI" w:eastAsia="Times New Roman" w:hAnsi="Nirmala UI" w:cs="Nirmala UI"/>
          <w:lang w:val="es-MX" w:eastAsia="es-MX"/>
        </w:rPr>
        <w:t>LII)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 —Biotecnología Agroalimentaria, Biotecnología Aplicada a la Salud, y Biotecnología Industrial y Procesos Ambientales— permiten articular la investigación con los sectores estratégicos de México y del entorno regional, promoviendo la transferencia de conocimiento y la innovación tecnológica.</w:t>
      </w:r>
    </w:p>
    <w:p w14:paraId="45B72DC6" w14:textId="77777777" w:rsidR="009012EE" w:rsidRPr="009012EE" w:rsidRDefault="009012EE" w:rsidP="009012EE">
      <w:pPr>
        <w:spacing w:before="100" w:beforeAutospacing="1" w:after="100" w:afterAutospacing="1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9012EE">
        <w:rPr>
          <w:rFonts w:ascii="Nirmala UI" w:eastAsia="Times New Roman" w:hAnsi="Nirmala UI" w:cs="Nirmala UI"/>
          <w:b/>
          <w:bCs/>
          <w:lang w:val="es-MX" w:eastAsia="es-MX"/>
        </w:rPr>
        <w:t>II. Vinculación con las problemáticas y prioridades nacionales</w:t>
      </w:r>
    </w:p>
    <w:p w14:paraId="1F63F147" w14:textId="078B89AC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 xml:space="preserve">La Maestría se encuentra sólidamente vinculada con las principales problemáticas nacionales definidas por </w:t>
      </w:r>
      <w:r>
        <w:rPr>
          <w:rFonts w:ascii="Nirmala UI" w:eastAsia="Times New Roman" w:hAnsi="Nirmala UI" w:cs="Nirmala UI"/>
          <w:lang w:val="es-MX" w:eastAsia="es-MX"/>
        </w:rPr>
        <w:t>la Secretaría de Ciencia,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 Humanidades,</w:t>
      </w:r>
      <w:r>
        <w:rPr>
          <w:rFonts w:ascii="Nirmala UI" w:eastAsia="Times New Roman" w:hAnsi="Nirmala UI" w:cs="Nirmala UI"/>
          <w:lang w:val="es-MX" w:eastAsia="es-MX"/>
        </w:rPr>
        <w:t xml:space="preserve"> </w:t>
      </w:r>
      <w:r w:rsidRPr="009012EE">
        <w:rPr>
          <w:rFonts w:ascii="Nirmala UI" w:eastAsia="Times New Roman" w:hAnsi="Nirmala UI" w:cs="Nirmala UI"/>
          <w:lang w:val="es-MX" w:eastAsia="es-MX"/>
        </w:rPr>
        <w:t>Tecnología</w:t>
      </w:r>
      <w:r>
        <w:rPr>
          <w:rFonts w:ascii="Nirmala UI" w:eastAsia="Times New Roman" w:hAnsi="Nirmala UI" w:cs="Nirmala UI"/>
          <w:lang w:val="es-MX" w:eastAsia="es-MX"/>
        </w:rPr>
        <w:t xml:space="preserve"> e Innovación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 (</w:t>
      </w:r>
      <w:r>
        <w:rPr>
          <w:rFonts w:ascii="Nirmala UI" w:eastAsia="Times New Roman" w:hAnsi="Nirmala UI" w:cs="Nirmala UI"/>
          <w:lang w:val="es-MX" w:eastAsia="es-MX"/>
        </w:rPr>
        <w:t>SECIHTI</w:t>
      </w:r>
      <w:r w:rsidRPr="009012EE">
        <w:rPr>
          <w:rFonts w:ascii="Nirmala UI" w:eastAsia="Times New Roman" w:hAnsi="Nirmala UI" w:cs="Nirmala UI"/>
          <w:lang w:val="es-MX" w:eastAsia="es-MX"/>
        </w:rPr>
        <w:t>) y las políticas de desarrollo sostenible. Su enfoque interdisciplinario favorece la atención de tres grandes retos nacionales:</w:t>
      </w:r>
    </w:p>
    <w:p w14:paraId="582BFD4B" w14:textId="77777777" w:rsidR="009012EE" w:rsidRPr="009012EE" w:rsidRDefault="009012EE" w:rsidP="009012EE">
      <w:pPr>
        <w:spacing w:before="100" w:beforeAutospacing="1" w:after="100" w:afterAutospacing="1"/>
        <w:jc w:val="both"/>
        <w:outlineLvl w:val="2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1. Seguridad alimentaria y desarrollo agroalimentario</w:t>
      </w:r>
    </w:p>
    <w:p w14:paraId="2AA1118C" w14:textId="77777777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 xml:space="preserve">México enfrenta una creciente presión para garantizar la soberanía y seguridad alimentaria, con sistemas productivos resilientes y sostenibles. La línea de Biotecnología Agroalimentaria aborda estas problemáticas mediante la formación </w:t>
      </w:r>
      <w:r w:rsidRPr="009012EE">
        <w:rPr>
          <w:rFonts w:ascii="Nirmala UI" w:eastAsia="Times New Roman" w:hAnsi="Nirmala UI" w:cs="Nirmala UI"/>
          <w:lang w:val="es-MX" w:eastAsia="es-MX"/>
        </w:rPr>
        <w:lastRenderedPageBreak/>
        <w:t>de especialistas capaces de desarrollar soluciones basadas en ciencia aplicada para mejorar la productividad y calidad de los cultivos, optimizar recursos y reducir impactos ambientales.</w:t>
      </w:r>
    </w:p>
    <w:p w14:paraId="002ADF89" w14:textId="77777777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 xml:space="preserve">Las asignaturas como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Fisiología Vegetal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,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Cultivo de Tejidos Vegetales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,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Control Biológico de Plagas y Enfermedades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 y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Alimentos Funcionales y Nutracéuticos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 dotan al estudiantado de competencias en mejoramiento genético, desarrollo de alimentos saludables y </w:t>
      </w:r>
      <w:proofErr w:type="spellStart"/>
      <w:r w:rsidRPr="009012EE">
        <w:rPr>
          <w:rFonts w:ascii="Nirmala UI" w:eastAsia="Times New Roman" w:hAnsi="Nirmala UI" w:cs="Nirmala UI"/>
          <w:lang w:val="es-MX" w:eastAsia="es-MX"/>
        </w:rPr>
        <w:t>biocontrol</w:t>
      </w:r>
      <w:proofErr w:type="spellEnd"/>
      <w:r w:rsidRPr="009012EE">
        <w:rPr>
          <w:rFonts w:ascii="Nirmala UI" w:eastAsia="Times New Roman" w:hAnsi="Nirmala UI" w:cs="Nirmala UI"/>
          <w:lang w:val="es-MX" w:eastAsia="es-MX"/>
        </w:rPr>
        <w:t xml:space="preserve"> ecológico, alineándose con los programas nacionales de autosuficiencia alimentaria y reducción del uso de agroquímicos.</w:t>
      </w:r>
    </w:p>
    <w:p w14:paraId="0DFA6B47" w14:textId="74F2F7A8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Con ello, el programa contribuye a los objetivos del Plan Sectorial de Agricultura y Desarrollo Rural, impulsando la innovación biotecnológica en sistemas agroalimentarios que fortalezcan la competitividad del campo mexicano.</w:t>
      </w:r>
    </w:p>
    <w:p w14:paraId="5AF24E03" w14:textId="77777777" w:rsidR="009012EE" w:rsidRPr="009012EE" w:rsidRDefault="009012EE" w:rsidP="009012EE">
      <w:pPr>
        <w:spacing w:before="100" w:beforeAutospacing="1" w:after="100" w:afterAutospacing="1"/>
        <w:jc w:val="both"/>
        <w:outlineLvl w:val="2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2. Salud pública, innovación biomédica y soberanía tecnológica</w:t>
      </w:r>
    </w:p>
    <w:p w14:paraId="1CA7A1C5" w14:textId="77777777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 xml:space="preserve">El programa responde también a los desafíos del sector salud, que requieren fortalecer la independencia tecnológica del país en el desarrollo de </w:t>
      </w:r>
      <w:proofErr w:type="spellStart"/>
      <w:r w:rsidRPr="009012EE">
        <w:rPr>
          <w:rFonts w:ascii="Nirmala UI" w:eastAsia="Times New Roman" w:hAnsi="Nirmala UI" w:cs="Nirmala UI"/>
          <w:lang w:val="es-MX" w:eastAsia="es-MX"/>
        </w:rPr>
        <w:t>biofármacos</w:t>
      </w:r>
      <w:proofErr w:type="spellEnd"/>
      <w:r w:rsidRPr="009012EE">
        <w:rPr>
          <w:rFonts w:ascii="Nirmala UI" w:eastAsia="Times New Roman" w:hAnsi="Nirmala UI" w:cs="Nirmala UI"/>
          <w:lang w:val="es-MX" w:eastAsia="es-MX"/>
        </w:rPr>
        <w:t>, vacunas y métodos de diagnóstico. La línea de Biotecnología Aplicada a la Salud forma investigadores con capacidades en biología molecular, bioinformática, inmunología y medicina traslacional.</w:t>
      </w:r>
    </w:p>
    <w:p w14:paraId="65F5C819" w14:textId="77777777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 xml:space="preserve">Cursos como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Biología Celular y Molecular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,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Inmunología Avanzada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,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Virología Médica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 y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Transducción de Señales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 permiten a los estudiantes incursionar en la creación de nuevos medicamentos, terapias génicas y vacunas, con enfoque en las enfermedades crónicas, infecciosas y emergentes.</w:t>
      </w:r>
    </w:p>
    <w:p w14:paraId="24A54A2A" w14:textId="369D0BC9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 xml:space="preserve">Esta orientación se articula con las prioridades de la Agenda Nacional de Salud y con la estrategia </w:t>
      </w:r>
      <w:r>
        <w:rPr>
          <w:rFonts w:ascii="Nirmala UI" w:eastAsia="Times New Roman" w:hAnsi="Nirmala UI" w:cs="Nirmala UI"/>
          <w:lang w:val="es-MX" w:eastAsia="es-MX"/>
        </w:rPr>
        <w:t>de la SECIHTI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 para fortalecer la soberanía científica y tecnológica en biomedicina. La formación ética y socialmente responsable del alumnado garantiza que las innovaciones generadas respondan a las necesidades de salud pública con equidad y pertinencia social.</w:t>
      </w:r>
    </w:p>
    <w:p w14:paraId="741AE2AE" w14:textId="77777777" w:rsidR="009012EE" w:rsidRPr="009012EE" w:rsidRDefault="009012EE" w:rsidP="009012EE">
      <w:pPr>
        <w:spacing w:before="100" w:beforeAutospacing="1" w:after="100" w:afterAutospacing="1"/>
        <w:outlineLvl w:val="2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3. Sustentabilidad ambiental y desarrollo industrial responsable</w:t>
      </w:r>
    </w:p>
    <w:p w14:paraId="46771A9B" w14:textId="77777777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 xml:space="preserve">El tercer eje del programa, Biotecnología Industrial y Procesos Ambientales, se alinea con los objetivos de desarrollo sustentable y las estrategias nacionales para enfrentar el cambio climático y la contaminación ambiental. Las asignaturas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 xml:space="preserve">Biotecnología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lastRenderedPageBreak/>
        <w:t>Ambiental Avanzada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,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Evaluación de la Calidad del Agua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,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Biorremediación de Suelos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 y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Procesos Biotecnológicos para el Tratamiento de Aguas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 promueven la formación de profesionales capaces de generar bioprocesos sustentables, tecnologías de tratamiento y recuperación ambiental, y sistemas de aprovechamiento de residuos industriales.</w:t>
      </w:r>
    </w:p>
    <w:p w14:paraId="7AFAA48A" w14:textId="5FDA830A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Estas competencias fortalecen la transición hacia una bioeconomía circular, contribuyendo a los programas nacionales de economía sustentable y energía limpia, en congruencia con los ODS 6 (Agua limpia y saneamiento), 12 (Producción y consumo responsables) y 13 (Acción por el clima).</w:t>
      </w:r>
    </w:p>
    <w:p w14:paraId="7C874BC6" w14:textId="77777777" w:rsidR="009012EE" w:rsidRPr="009012EE" w:rsidRDefault="009012EE" w:rsidP="009012EE">
      <w:pPr>
        <w:spacing w:before="100" w:beforeAutospacing="1" w:after="100" w:afterAutospacing="1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9012EE">
        <w:rPr>
          <w:rFonts w:ascii="Nirmala UI" w:eastAsia="Times New Roman" w:hAnsi="Nirmala UI" w:cs="Nirmala UI"/>
          <w:b/>
          <w:bCs/>
          <w:lang w:val="es-MX" w:eastAsia="es-MX"/>
        </w:rPr>
        <w:t>III. Congruencia entre la estructura curricular y los sectores estratégicos</w:t>
      </w:r>
    </w:p>
    <w:p w14:paraId="09DACDE0" w14:textId="77777777" w:rsid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 xml:space="preserve">El diseño curricular de la Maestría integra una formación metodológica sólida, una base disciplinaria transversal y una orientación </w:t>
      </w:r>
      <w:proofErr w:type="spellStart"/>
      <w:r w:rsidRPr="009012EE">
        <w:rPr>
          <w:rFonts w:ascii="Nirmala UI" w:eastAsia="Times New Roman" w:hAnsi="Nirmala UI" w:cs="Nirmala UI"/>
          <w:lang w:val="es-MX" w:eastAsia="es-MX"/>
        </w:rPr>
        <w:t>especializante</w:t>
      </w:r>
      <w:proofErr w:type="spellEnd"/>
      <w:r w:rsidRPr="009012EE">
        <w:rPr>
          <w:rFonts w:ascii="Nirmala UI" w:eastAsia="Times New Roman" w:hAnsi="Nirmala UI" w:cs="Nirmala UI"/>
          <w:lang w:val="es-MX" w:eastAsia="es-MX"/>
        </w:rPr>
        <w:t xml:space="preserve"> adaptada a las necesidades de cada línea.</w:t>
      </w:r>
    </w:p>
    <w:p w14:paraId="6D72DEB1" w14:textId="5F959DFD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 xml:space="preserve">Las asignaturas básicas como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Metodología de la Investigación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,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Bioquímica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,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Estadística y Diseño de Experimentos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 e </w:t>
      </w:r>
      <w:r w:rsidRPr="009012EE">
        <w:rPr>
          <w:rFonts w:ascii="Nirmala UI" w:eastAsia="Times New Roman" w:hAnsi="Nirmala UI" w:cs="Nirmala UI"/>
          <w:i/>
          <w:iCs/>
          <w:lang w:val="es-MX" w:eastAsia="es-MX"/>
        </w:rPr>
        <w:t>Introducción a la Innovación Biotecnológica</w:t>
      </w:r>
      <w:r w:rsidRPr="009012EE">
        <w:rPr>
          <w:rFonts w:ascii="Nirmala UI" w:eastAsia="Times New Roman" w:hAnsi="Nirmala UI" w:cs="Nirmala UI"/>
          <w:lang w:val="es-MX" w:eastAsia="es-MX"/>
        </w:rPr>
        <w:t xml:space="preserve"> aseguran la adquisición de competencias analíticas, experimentales y de gestión científica necesarias para abordar los desafíos tecnológicos del país.</w:t>
      </w:r>
    </w:p>
    <w:p w14:paraId="6AD61E90" w14:textId="77777777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El enfoque en innovación y transferencia tecnológica se fortalece con contenidos sobre propiedad intelectual, modelos de negocio biotecnológicos, y estrategias de comercialización, lo que permite vincular la formación científica con la aplicación práctica en los sectores productivos.</w:t>
      </w:r>
    </w:p>
    <w:p w14:paraId="70F1AB70" w14:textId="66795999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 xml:space="preserve">La estructura de cuatro etapas formativas (básica, disciplinaria, </w:t>
      </w:r>
      <w:proofErr w:type="spellStart"/>
      <w:r w:rsidRPr="009012EE">
        <w:rPr>
          <w:rFonts w:ascii="Nirmala UI" w:eastAsia="Times New Roman" w:hAnsi="Nirmala UI" w:cs="Nirmala UI"/>
          <w:lang w:val="es-MX" w:eastAsia="es-MX"/>
        </w:rPr>
        <w:t>especializante</w:t>
      </w:r>
      <w:proofErr w:type="spellEnd"/>
      <w:r w:rsidRPr="009012EE">
        <w:rPr>
          <w:rFonts w:ascii="Nirmala UI" w:eastAsia="Times New Roman" w:hAnsi="Nirmala UI" w:cs="Nirmala UI"/>
          <w:lang w:val="es-MX" w:eastAsia="es-MX"/>
        </w:rPr>
        <w:t xml:space="preserve"> de contenido y </w:t>
      </w:r>
      <w:proofErr w:type="spellStart"/>
      <w:r w:rsidRPr="009012EE">
        <w:rPr>
          <w:rFonts w:ascii="Nirmala UI" w:eastAsia="Times New Roman" w:hAnsi="Nirmala UI" w:cs="Nirmala UI"/>
          <w:lang w:val="es-MX" w:eastAsia="es-MX"/>
        </w:rPr>
        <w:t>especializante</w:t>
      </w:r>
      <w:proofErr w:type="spellEnd"/>
      <w:r w:rsidRPr="009012EE">
        <w:rPr>
          <w:rFonts w:ascii="Nirmala UI" w:eastAsia="Times New Roman" w:hAnsi="Nirmala UI" w:cs="Nirmala UI"/>
          <w:lang w:val="es-MX" w:eastAsia="es-MX"/>
        </w:rPr>
        <w:t xml:space="preserve"> de experimentación) asegura un proceso progresivo en el que el estudiante avanza desde la comprensión de fundamentos científicos hasta la aplicación de soluciones biotecnológicas en contextos reales, con impacto económico, social y ambiental.</w:t>
      </w:r>
    </w:p>
    <w:p w14:paraId="024AE62C" w14:textId="77777777" w:rsidR="009012EE" w:rsidRPr="009012EE" w:rsidRDefault="009012EE" w:rsidP="009012EE">
      <w:pPr>
        <w:spacing w:before="100" w:beforeAutospacing="1" w:after="100" w:afterAutospacing="1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9012EE">
        <w:rPr>
          <w:rFonts w:ascii="Nirmala UI" w:eastAsia="Times New Roman" w:hAnsi="Nirmala UI" w:cs="Nirmala UI"/>
          <w:b/>
          <w:bCs/>
          <w:lang w:val="es-MX" w:eastAsia="es-MX"/>
        </w:rPr>
        <w:t>IV. Vinculación regional y contribución al desarrollo sustentable</w:t>
      </w:r>
    </w:p>
    <w:p w14:paraId="0E6CCA7A" w14:textId="77777777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 xml:space="preserve">El CIATEJ se ubica en una de las regiones más dinámicas del país: la zona occidente-centro, donde convergen sectores agroindustrial, farmacéutico y ambiental de alta relevancia. La Maestría fortalece este ecosistema mediante la generación de </w:t>
      </w:r>
      <w:r w:rsidRPr="009012EE">
        <w:rPr>
          <w:rFonts w:ascii="Nirmala UI" w:eastAsia="Times New Roman" w:hAnsi="Nirmala UI" w:cs="Nirmala UI"/>
          <w:lang w:val="es-MX" w:eastAsia="es-MX"/>
        </w:rPr>
        <w:lastRenderedPageBreak/>
        <w:t>conocimiento y tecnologías orientadas a resolver problemáticas locales con impacto nacional, fomentando la transferencia tecnológica y la vinculación con empresas, instituciones y comunidades.</w:t>
      </w:r>
    </w:p>
    <w:p w14:paraId="7EA06F67" w14:textId="77777777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En el ámbito regional, el programa impulsa proyectos que promueven:</w:t>
      </w:r>
    </w:p>
    <w:p w14:paraId="6BDEC564" w14:textId="77777777" w:rsidR="009012EE" w:rsidRPr="009012EE" w:rsidRDefault="009012EE" w:rsidP="009012E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El aprovechamiento sustentable de los recursos naturales en el occidente del país.</w:t>
      </w:r>
    </w:p>
    <w:p w14:paraId="5C477AA6" w14:textId="77777777" w:rsidR="009012EE" w:rsidRPr="009012EE" w:rsidRDefault="009012EE" w:rsidP="009012E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La optimización de procesos agroalimentarios para pequeños productores y agroindustrias.</w:t>
      </w:r>
    </w:p>
    <w:p w14:paraId="3D390CBE" w14:textId="77777777" w:rsidR="009012EE" w:rsidRPr="009012EE" w:rsidRDefault="009012EE" w:rsidP="009012E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 xml:space="preserve">El desarrollo de </w:t>
      </w:r>
      <w:proofErr w:type="spellStart"/>
      <w:r w:rsidRPr="009012EE">
        <w:rPr>
          <w:rFonts w:ascii="Nirmala UI" w:eastAsia="Times New Roman" w:hAnsi="Nirmala UI" w:cs="Nirmala UI"/>
          <w:lang w:val="es-MX" w:eastAsia="es-MX"/>
        </w:rPr>
        <w:t>bioinsumos</w:t>
      </w:r>
      <w:proofErr w:type="spellEnd"/>
      <w:r w:rsidRPr="009012EE">
        <w:rPr>
          <w:rFonts w:ascii="Nirmala UI" w:eastAsia="Times New Roman" w:hAnsi="Nirmala UI" w:cs="Nirmala UI"/>
          <w:lang w:val="es-MX" w:eastAsia="es-MX"/>
        </w:rPr>
        <w:t xml:space="preserve"> y </w:t>
      </w:r>
      <w:proofErr w:type="spellStart"/>
      <w:r w:rsidRPr="009012EE">
        <w:rPr>
          <w:rFonts w:ascii="Nirmala UI" w:eastAsia="Times New Roman" w:hAnsi="Nirmala UI" w:cs="Nirmala UI"/>
          <w:lang w:val="es-MX" w:eastAsia="es-MX"/>
        </w:rPr>
        <w:t>bioproductos</w:t>
      </w:r>
      <w:proofErr w:type="spellEnd"/>
      <w:r w:rsidRPr="009012EE">
        <w:rPr>
          <w:rFonts w:ascii="Nirmala UI" w:eastAsia="Times New Roman" w:hAnsi="Nirmala UI" w:cs="Nirmala UI"/>
          <w:lang w:val="es-MX" w:eastAsia="es-MX"/>
        </w:rPr>
        <w:t xml:space="preserve"> que fortalezcan las cadenas de valor locales.</w:t>
      </w:r>
    </w:p>
    <w:p w14:paraId="50AAB814" w14:textId="77777777" w:rsidR="009012EE" w:rsidRPr="009012EE" w:rsidRDefault="009012EE" w:rsidP="009012EE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La formación de talento humano especializado que contribuya al ecosistema de innovación biotecnológica de Jalisco y estados vecinos.</w:t>
      </w:r>
    </w:p>
    <w:p w14:paraId="72A8E1F1" w14:textId="349B6E25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De esta manera, el programa contribuye directamente al fortalecimiento del sector científico-tecnológico regional y a la transformación de la economía local hacia modelos de sustentabilidad y alto valor agregado.</w:t>
      </w:r>
    </w:p>
    <w:p w14:paraId="53F0D6DB" w14:textId="7E8A090D" w:rsidR="009012EE" w:rsidRPr="009012EE" w:rsidRDefault="009012EE" w:rsidP="009012EE">
      <w:pPr>
        <w:spacing w:before="100" w:beforeAutospacing="1" w:after="100" w:afterAutospacing="1"/>
        <w:outlineLvl w:val="1"/>
        <w:rPr>
          <w:rFonts w:ascii="Nirmala UI" w:eastAsia="Times New Roman" w:hAnsi="Nirmala UI" w:cs="Nirmala UI"/>
          <w:b/>
          <w:bCs/>
          <w:lang w:val="es-MX" w:eastAsia="es-MX"/>
        </w:rPr>
      </w:pPr>
      <w:r w:rsidRPr="009012EE">
        <w:rPr>
          <w:rFonts w:ascii="Nirmala UI" w:eastAsia="Times New Roman" w:hAnsi="Nirmala UI" w:cs="Nirmala UI"/>
          <w:b/>
          <w:bCs/>
          <w:lang w:val="es-MX" w:eastAsia="es-MX"/>
        </w:rPr>
        <w:t>V. Conclusi</w:t>
      </w:r>
      <w:r>
        <w:rPr>
          <w:rFonts w:ascii="Nirmala UI" w:eastAsia="Times New Roman" w:hAnsi="Nirmala UI" w:cs="Nirmala UI"/>
          <w:b/>
          <w:bCs/>
          <w:lang w:val="es-MX" w:eastAsia="es-MX"/>
        </w:rPr>
        <w:t>ón</w:t>
      </w:r>
    </w:p>
    <w:p w14:paraId="596F7695" w14:textId="77777777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 xml:space="preserve">La Maestría en Ciencias en Innovación Biotecnológica del CIATEJ demuestra una congruencia integral entre sus objetivos formativos, su estructura curricular y las problemáticas prioritarias de México. Al abordar de manera transversal los </w:t>
      </w:r>
      <w:proofErr w:type="gramStart"/>
      <w:r w:rsidRPr="009012EE">
        <w:rPr>
          <w:rFonts w:ascii="Nirmala UI" w:eastAsia="Times New Roman" w:hAnsi="Nirmala UI" w:cs="Nirmala UI"/>
          <w:lang w:val="es-MX" w:eastAsia="es-MX"/>
        </w:rPr>
        <w:t>sectores agroalimentario</w:t>
      </w:r>
      <w:proofErr w:type="gramEnd"/>
      <w:r w:rsidRPr="009012EE">
        <w:rPr>
          <w:rFonts w:ascii="Nirmala UI" w:eastAsia="Times New Roman" w:hAnsi="Nirmala UI" w:cs="Nirmala UI"/>
          <w:lang w:val="es-MX" w:eastAsia="es-MX"/>
        </w:rPr>
        <w:t>, de salud y ambiental, el programa contribuye al desarrollo sostenible, la soberanía científica y la innovación responsable.</w:t>
      </w:r>
    </w:p>
    <w:p w14:paraId="242528F8" w14:textId="77777777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Su vinculación con el entorno regional y nacional garantiza que las investigaciones y proyectos desarrollados por su comunidad académica respondan a las demandas reales del país, fortaleciendo los sectores estratégicos y fomentando la creación de conocimiento con valor social y económico.</w:t>
      </w:r>
    </w:p>
    <w:p w14:paraId="40A168B7" w14:textId="77777777" w:rsidR="009012EE" w:rsidRPr="009012EE" w:rsidRDefault="009012EE" w:rsidP="009012EE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val="es-MX" w:eastAsia="es-MX"/>
        </w:rPr>
      </w:pPr>
      <w:r w:rsidRPr="009012EE">
        <w:rPr>
          <w:rFonts w:ascii="Nirmala UI" w:eastAsia="Times New Roman" w:hAnsi="Nirmala UI" w:cs="Nirmala UI"/>
          <w:lang w:val="es-MX" w:eastAsia="es-MX"/>
        </w:rPr>
        <w:t>El programa se consolida como un referente en la formación de capital humano altamente especializado, capaz de diseñar, adaptar y aplicar tecnologías biotecnológicas que impulsen la competitividad, la sustentabilidad y el bienestar en México.</w:t>
      </w:r>
    </w:p>
    <w:p w14:paraId="17181664" w14:textId="77777777" w:rsidR="00D055F5" w:rsidRPr="009012EE" w:rsidRDefault="00D055F5" w:rsidP="009012EE"/>
    <w:sectPr w:rsidR="00D055F5" w:rsidRPr="009012EE" w:rsidSect="00A73D6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02CD" w14:textId="77777777" w:rsidR="008C0FE7" w:rsidRDefault="008C0FE7" w:rsidP="00A73D65">
      <w:r>
        <w:separator/>
      </w:r>
    </w:p>
  </w:endnote>
  <w:endnote w:type="continuationSeparator" w:id="0">
    <w:p w14:paraId="06F092A2" w14:textId="77777777" w:rsidR="008C0FE7" w:rsidRDefault="008C0FE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E6C3" w14:textId="77777777" w:rsidR="008C0FE7" w:rsidRDefault="008C0FE7" w:rsidP="00A73D65">
      <w:r>
        <w:separator/>
      </w:r>
    </w:p>
  </w:footnote>
  <w:footnote w:type="continuationSeparator" w:id="0">
    <w:p w14:paraId="01466114" w14:textId="77777777" w:rsidR="008C0FE7" w:rsidRDefault="008C0FE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F314B"/>
    <w:multiLevelType w:val="multilevel"/>
    <w:tmpl w:val="7AD2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4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10"/>
  </w:num>
  <w:num w:numId="13">
    <w:abstractNumId w:val="9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60F0A"/>
    <w:rsid w:val="000B284F"/>
    <w:rsid w:val="00156A3E"/>
    <w:rsid w:val="00161740"/>
    <w:rsid w:val="00180A38"/>
    <w:rsid w:val="00184325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542BA"/>
    <w:rsid w:val="00363222"/>
    <w:rsid w:val="00370465"/>
    <w:rsid w:val="003D416E"/>
    <w:rsid w:val="003E1335"/>
    <w:rsid w:val="003F49A8"/>
    <w:rsid w:val="004027DE"/>
    <w:rsid w:val="004543B0"/>
    <w:rsid w:val="00454479"/>
    <w:rsid w:val="00477F45"/>
    <w:rsid w:val="004A4C4E"/>
    <w:rsid w:val="004B07B0"/>
    <w:rsid w:val="004D146C"/>
    <w:rsid w:val="004E5574"/>
    <w:rsid w:val="00582E02"/>
    <w:rsid w:val="005A1743"/>
    <w:rsid w:val="005C1A7C"/>
    <w:rsid w:val="005D14D4"/>
    <w:rsid w:val="005F3347"/>
    <w:rsid w:val="00626EE3"/>
    <w:rsid w:val="00631824"/>
    <w:rsid w:val="006322C1"/>
    <w:rsid w:val="0066676F"/>
    <w:rsid w:val="0067208B"/>
    <w:rsid w:val="00681882"/>
    <w:rsid w:val="006A0DFE"/>
    <w:rsid w:val="006C0425"/>
    <w:rsid w:val="006C3B4E"/>
    <w:rsid w:val="00714C0D"/>
    <w:rsid w:val="00733712"/>
    <w:rsid w:val="007421E3"/>
    <w:rsid w:val="00762CB9"/>
    <w:rsid w:val="007738F7"/>
    <w:rsid w:val="0078195E"/>
    <w:rsid w:val="007B09D7"/>
    <w:rsid w:val="007B74AD"/>
    <w:rsid w:val="007D77D1"/>
    <w:rsid w:val="007E184A"/>
    <w:rsid w:val="007E2AC8"/>
    <w:rsid w:val="007E5888"/>
    <w:rsid w:val="00831EE7"/>
    <w:rsid w:val="00834146"/>
    <w:rsid w:val="00847993"/>
    <w:rsid w:val="008C0FE7"/>
    <w:rsid w:val="009012EE"/>
    <w:rsid w:val="00904CC6"/>
    <w:rsid w:val="009066A7"/>
    <w:rsid w:val="00906743"/>
    <w:rsid w:val="00907F1C"/>
    <w:rsid w:val="00932C27"/>
    <w:rsid w:val="00935609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21938"/>
    <w:rsid w:val="00B541BC"/>
    <w:rsid w:val="00B67AB0"/>
    <w:rsid w:val="00B72D65"/>
    <w:rsid w:val="00B87C85"/>
    <w:rsid w:val="00BB21A6"/>
    <w:rsid w:val="00BB2DFF"/>
    <w:rsid w:val="00BC43BD"/>
    <w:rsid w:val="00BC51E0"/>
    <w:rsid w:val="00BF379D"/>
    <w:rsid w:val="00BF68B8"/>
    <w:rsid w:val="00C02E98"/>
    <w:rsid w:val="00C1416F"/>
    <w:rsid w:val="00C23B9E"/>
    <w:rsid w:val="00C279A3"/>
    <w:rsid w:val="00C30849"/>
    <w:rsid w:val="00C465F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84E05"/>
    <w:rsid w:val="00DB53A4"/>
    <w:rsid w:val="00DC18FA"/>
    <w:rsid w:val="00DE3FEC"/>
    <w:rsid w:val="00E155A4"/>
    <w:rsid w:val="00E5146D"/>
    <w:rsid w:val="00E809E4"/>
    <w:rsid w:val="00E93867"/>
    <w:rsid w:val="00EA423B"/>
    <w:rsid w:val="00EB407F"/>
    <w:rsid w:val="00EE053F"/>
    <w:rsid w:val="00F24915"/>
    <w:rsid w:val="00F26829"/>
    <w:rsid w:val="00F401F9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link w:val="Ttulo1Car"/>
    <w:uiPriority w:val="9"/>
    <w:qFormat/>
    <w:rsid w:val="009012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link w:val="Ttulo2Car"/>
    <w:uiPriority w:val="9"/>
    <w:qFormat/>
    <w:rsid w:val="009012E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Ttulo3">
    <w:name w:val="heading 3"/>
    <w:basedOn w:val="Normal"/>
    <w:link w:val="Ttulo3Car"/>
    <w:uiPriority w:val="9"/>
    <w:qFormat/>
    <w:rsid w:val="009012E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9012E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9012E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012E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9012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12E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nfasis">
    <w:name w:val="Emphasis"/>
    <w:basedOn w:val="Fuentedeprrafopredeter"/>
    <w:uiPriority w:val="20"/>
    <w:qFormat/>
    <w:rsid w:val="00901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Erika Nahomy Marino Marmolejo</cp:lastModifiedBy>
  <cp:revision>2</cp:revision>
  <dcterms:created xsi:type="dcterms:W3CDTF">2025-11-10T14:39:00Z</dcterms:created>
  <dcterms:modified xsi:type="dcterms:W3CDTF">2025-11-10T14:39:00Z</dcterms:modified>
</cp:coreProperties>
</file>