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9739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F655A78" w14:textId="77777777" w:rsidR="00E456E0" w:rsidRPr="00367125" w:rsidRDefault="00E456E0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6FA95C2" w14:textId="7604DDDB" w:rsidR="00E456E0" w:rsidRPr="00367125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b/>
          <w:bCs/>
          <w:color w:val="000000" w:themeColor="text1"/>
          <w:sz w:val="24"/>
          <w:szCs w:val="24"/>
        </w:rPr>
        <w:t>Protocolo Institucional para la Atención de Controversias y Actos de Violencia</w:t>
      </w:r>
    </w:p>
    <w:p w14:paraId="1273FEF0" w14:textId="361F899A" w:rsidR="00E456E0" w:rsidRPr="00367125" w:rsidRDefault="00690071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“ATENCIÓN INTEGRAL A SITUACIONES DE TODO TIPO DE VIOLEN</w:t>
      </w:r>
      <w:r w:rsidR="004F64A5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C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IA Y CONFLICTOS INTERPERSONALES”</w:t>
      </w:r>
    </w:p>
    <w:p w14:paraId="02AB2BA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E72C239" w14:textId="5DFE5FB9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1. Presentación</w:t>
      </w:r>
    </w:p>
    <w:p w14:paraId="0391D183" w14:textId="10708ABB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Este documento establece los lineamientos y procedimientos institucionales para la prevención, atención y erradicación de controversias y actos de violencia en todas sus formas, con el objetivo de fomentar un entorno académico y laboral libre de hostigamiento, discriminación y cualquier tipo de violencia. El CIATEJ,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A.C.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comprometido con la equidad y el respeto a los derechos humanos, cuenta con la certificación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nivel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plata bajo la 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-R-025-SCFI-2015, elevada a oro en la última revisión por la instancia certificadora.</w:t>
      </w:r>
    </w:p>
    <w:p w14:paraId="0C1F490A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primera instancia se realiza una estrategia de promoción dirigida a las y los estudiantes en la cual se les brinda una charla informativa sobre el pronunciamiento Cero Tolerancia al Hostigamiento Sexual y Acoso Sexual, así como los diferentes tipos de violencia reconocidos en el código de conducta. Se les proporciona contactos institucionales para la atención y recepción de quejas. </w:t>
      </w:r>
    </w:p>
    <w:p w14:paraId="2741ABD2" w14:textId="479E999A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Cuando una persona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>toma la decisión de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presentar una queja, el Departamento de CCOPG y Posgrado realiza atención inicial y valora las posibles vías de soluciones. En los casos 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que la situación puede resolverse tras negociación, mediación y/o acciones internas se llevan a cabo dentro de</w:t>
      </w:r>
      <w:r w:rsidR="00C328C9" w:rsidRPr="00367125">
        <w:rPr>
          <w:rFonts w:ascii="Arial Narrow" w:hAnsi="Arial Narrow"/>
          <w:color w:val="000000" w:themeColor="text1"/>
          <w:sz w:val="24"/>
          <w:szCs w:val="24"/>
        </w:rPr>
        <w:t xml:space="preserve"> los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propios departamentos.</w:t>
      </w:r>
    </w:p>
    <w:p w14:paraId="1D69710E" w14:textId="351EBAA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En aquellos casos en los que la gravedad requiere una intervención mayor, se procede a la canalización formal al Comité de ética y/u Órgano Interno de Control del CIATEJ, A.C. </w:t>
      </w:r>
    </w:p>
    <w:p w14:paraId="76EC44E7" w14:textId="616DBB7D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El alcance de este Protocolo es integral y aplica a la totalidad de la Comunidad CIATEJ, A.C. </w:t>
      </w:r>
    </w:p>
    <w:p w14:paraId="48AECC66" w14:textId="77777777" w:rsidR="00770433" w:rsidRPr="00367125" w:rsidRDefault="00770433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47C52E4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2. Objetivo General</w:t>
      </w:r>
    </w:p>
    <w:p w14:paraId="1084E90C" w14:textId="09C7C82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Establecer protocolos claros y eficientes 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con perspectiva de género y derechos humanos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para la prevención, detección, atención, seguimiento y resolución de controversias y actos de violencia dentro del CIATEJ,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 xml:space="preserve"> A.C.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promoviendo una cultura institucional de respeto, igualdad y </w:t>
      </w: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 al hostigamiento sexual, acoso sexual, todo tipo de violencia y discriminación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B9AD8CE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3C4E524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ED393E9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97BAB98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6E83D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F91D531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8F9A495" w14:textId="4E3A4D7E" w:rsidR="00770433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3. Objetivos Específicos</w:t>
      </w:r>
    </w:p>
    <w:p w14:paraId="0415A9A7" w14:textId="3E2628D7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Prevenir conductas de hostigamiento, acoso, discriminación y violencia.</w:t>
      </w:r>
    </w:p>
    <w:p w14:paraId="4E1A2450" w14:textId="79AC659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Brindar mecanismos de atención segura, confidencial y oportuna a las personas afectadas.</w:t>
      </w:r>
    </w:p>
    <w:p w14:paraId="5BEFF730" w14:textId="556C11B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Promover la cultura de igualdad de género, derechos humanos y convivencia pacífica.</w:t>
      </w:r>
    </w:p>
    <w:p w14:paraId="1FEADC62" w14:textId="06743ED8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Garantizar el cumplimiento de la NM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y demás normativas aplicables.</w:t>
      </w:r>
    </w:p>
    <w:p w14:paraId="52ADB845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C7AC8C6" w14:textId="0044D474" w:rsidR="00684ECB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4. Marco Normativo</w:t>
      </w:r>
    </w:p>
    <w:p w14:paraId="6B971C29" w14:textId="1574EEBD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El presente protocolo se sustenta en la normativa vigente y se complementa con los siguientes instrumentos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1EA9AB5E" w14:textId="108AB6A6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Constitución Política de los Estados Unidos Mexicanos.</w:t>
      </w:r>
    </w:p>
    <w:p w14:paraId="6E1FFECD" w14:textId="0AAF542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General de Acceso de las Mujeres a una Vida Libre de Violencia.</w:t>
      </w:r>
    </w:p>
    <w:p w14:paraId="5C7EED84" w14:textId="0A41E10D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Ley Federal del Trabajo.</w:t>
      </w:r>
    </w:p>
    <w:p w14:paraId="0C6AC24A" w14:textId="04E06551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N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MX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-R-025-SCFI-2015 en Igualdad Laboral y No Discriminación.</w:t>
      </w:r>
    </w:p>
    <w:p w14:paraId="76AC427B" w14:textId="015540B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Código de Ética del CIATEJ</w:t>
      </w:r>
      <w:r w:rsidR="00684ECB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EA01328" w14:textId="4B72C598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Código de Conducta de los servidores y servidoras públicas </w:t>
      </w:r>
    </w:p>
    <w:p w14:paraId="0D132938" w14:textId="2F5FAF56" w:rsidR="00684ECB" w:rsidRPr="00370A46" w:rsidRDefault="00370A46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="00684ECB"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</w:p>
    <w:p w14:paraId="098BC781" w14:textId="113852CF" w:rsidR="00684ECB" w:rsidRPr="00367125" w:rsidRDefault="00684ECB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</w:p>
    <w:p w14:paraId="15752B61" w14:textId="20F32813" w:rsidR="00370A46" w:rsidRPr="00370A46" w:rsidRDefault="00684ECB" w:rsidP="00370A46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</w:p>
    <w:p w14:paraId="6BBD7E47" w14:textId="77777777" w:rsidR="00684ECB" w:rsidRPr="00367125" w:rsidRDefault="00684ECB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E4015D8" w14:textId="6B536CF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5. Definiciones</w:t>
      </w:r>
    </w:p>
    <w:p w14:paraId="3951CDEB" w14:textId="7B7EB24B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Violencia: Cualquier acción u omisión que cause daño físico, psicológico, sexual, económico o patrimonial.</w:t>
      </w:r>
    </w:p>
    <w:p w14:paraId="12557C34" w14:textId="665345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Hostigamiento: Ejercicio de poder en una relación de subordinación, con conductas verbales o físicas de naturaleza sexual.</w:t>
      </w:r>
    </w:p>
    <w:p w14:paraId="748A8378" w14:textId="509C9F0F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Acoso: Conducta no deseada de naturaleza sexual sin relación de subordinación.</w:t>
      </w:r>
    </w:p>
    <w:p w14:paraId="03F06B0B" w14:textId="77777777" w:rsid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Discriminación: Distinción</w:t>
      </w:r>
      <w:r w:rsidR="00770433" w:rsidRPr="00367125">
        <w:rPr>
          <w:rFonts w:ascii="Arial Narrow" w:hAnsi="Arial Narrow"/>
          <w:color w:val="000000" w:themeColor="text1"/>
          <w:sz w:val="24"/>
          <w:szCs w:val="24"/>
        </w:rPr>
        <w:t xml:space="preserve">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mas de los siguientes motivos: el origen étnico o nacional, el color de </w:t>
      </w:r>
    </w:p>
    <w:p w14:paraId="7B42F7A7" w14:textId="1D78DF8D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124E5D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DB1BB1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FDBCAB9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03547B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86778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A167D34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BC0874C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A10D063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4FCA535" w14:textId="77777777" w:rsidR="00367125" w:rsidRDefault="00367125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A318203" w14:textId="22175AA1" w:rsid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 piel, la cultura. El sexo, el género, la edad, las discapacidades, la condición social, </w:t>
      </w:r>
    </w:p>
    <w:p w14:paraId="53147B9E" w14:textId="48556626" w:rsidR="00591D86" w:rsidRPr="00367125" w:rsidRDefault="00770433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económica, de salud o jurídica, la religión, la apariencia física, las características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35CF3883" w14:textId="0E995222" w:rsidR="00684ECB" w:rsidRPr="00367125" w:rsidRDefault="00770433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genéticas, la situación migratoria, el embarazo, la lengua, las opiniones,</w:t>
      </w:r>
      <w:r w:rsid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las preferencias sexuales, la identidad o filiación política, el estado civil, la situación familiar, las responsabilidades familiares, el idioma, los antecedentes penales o cualquier otro motivo. También se entenderá como discriminación la homofobia, misoginia, cualquier manifestación de xenofobia, segregación racial, antisemitismo, así como la discriminación racial y otras formas conexas de intolerancia. </w:t>
      </w:r>
    </w:p>
    <w:p w14:paraId="40D1B664" w14:textId="77777777" w:rsidR="00591D86" w:rsidRPr="00367125" w:rsidRDefault="00591D86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F9688E4" w14:textId="577EC080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6. Principios Rectores</w:t>
      </w:r>
    </w:p>
    <w:p w14:paraId="1D0E4C87" w14:textId="2B357F73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Confidencialidad</w:t>
      </w:r>
    </w:p>
    <w:p w14:paraId="489A90C6" w14:textId="2E08D68A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Perspectiva de género</w:t>
      </w:r>
    </w:p>
    <w:p w14:paraId="6CB0E730" w14:textId="1A3C9887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Respeto a los derechos humanos</w:t>
      </w:r>
    </w:p>
    <w:p w14:paraId="59A20A22" w14:textId="665FDB69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Protección a víctimas y denunciantes</w:t>
      </w:r>
    </w:p>
    <w:p w14:paraId="386B9132" w14:textId="55E20F8D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Legalidad e imparcialidad</w:t>
      </w:r>
    </w:p>
    <w:p w14:paraId="11ADF2A6" w14:textId="43B6B411" w:rsidR="00080124" w:rsidRPr="00367125" w:rsidRDefault="00080124" w:rsidP="00367125">
      <w:pPr>
        <w:pStyle w:val="Prrafodelista"/>
        <w:numPr>
          <w:ilvl w:val="0"/>
          <w:numId w:val="32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proofErr w:type="gramStart"/>
      <w:r w:rsidRPr="00367125">
        <w:rPr>
          <w:rFonts w:ascii="Arial Narrow" w:hAnsi="Arial Narrow"/>
          <w:color w:val="000000" w:themeColor="text1"/>
          <w:sz w:val="24"/>
          <w:szCs w:val="24"/>
        </w:rPr>
        <w:t>Cero tolerancia</w:t>
      </w:r>
      <w:proofErr w:type="gramEnd"/>
    </w:p>
    <w:p w14:paraId="00B21DAF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2FD314" w14:textId="6BBA04CE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7. Alcance</w:t>
      </w:r>
    </w:p>
    <w:p w14:paraId="6883E072" w14:textId="124FF579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Aplica a todo el personal académico, administrativo, estudiantes, prestadores de servicio social, proveedores y visitantes del CIATEJ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, A.C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83113FB" w14:textId="77777777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7A0841A" w14:textId="5A57476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 Estructura Operativa</w:t>
      </w:r>
    </w:p>
    <w:p w14:paraId="741BAE1C" w14:textId="77777777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8.1 Comité de Atención a la Violencia y Controversias (CAVC)</w:t>
      </w:r>
    </w:p>
    <w:p w14:paraId="64F34ADA" w14:textId="4610AAC4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Integración</w:t>
      </w:r>
    </w:p>
    <w:p w14:paraId="25D4F6C6" w14:textId="6D4FE535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2D1923BB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4444733" w14:textId="73F8AB6A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8.2 Unidad de Género y Derechos Humanos</w:t>
      </w:r>
    </w:p>
    <w:p w14:paraId="5A6C3F79" w14:textId="023F38BC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Funciones</w:t>
      </w:r>
    </w:p>
    <w:p w14:paraId="063AD27F" w14:textId="65CA2C8A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Coordinación con instancias internas y externas</w:t>
      </w:r>
    </w:p>
    <w:p w14:paraId="181BA924" w14:textId="77777777" w:rsidR="00684ECB" w:rsidRPr="00367125" w:rsidRDefault="00684ECB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DD7F41C" w14:textId="2AF0AD82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9. Protocolo de Prevención</w:t>
      </w:r>
    </w:p>
    <w:p w14:paraId="6E3D0ED1" w14:textId="07DA85A8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5463D0B" w14:textId="7777777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1DCC8E4" w14:textId="2E13A540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2B75A99" w14:textId="0F1B6AF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9E32EDE" w14:textId="0B89C9C7" w:rsid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00E8393" w14:textId="77777777" w:rsidR="00367125" w:rsidRPr="00367125" w:rsidRDefault="00367125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BCBFAB" w14:textId="04660A03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Programas de sensibilización y capacitación.</w:t>
      </w:r>
    </w:p>
    <w:p w14:paraId="4411F9BC" w14:textId="4CC94480" w:rsidR="00080124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Difusión de políticas institucionales.</w:t>
      </w:r>
    </w:p>
    <w:p w14:paraId="14C26AB8" w14:textId="4F79E982" w:rsidR="00C328C9" w:rsidRPr="00367125" w:rsidRDefault="00080124" w:rsidP="00367125">
      <w:pPr>
        <w:pStyle w:val="Prrafodelista"/>
        <w:numPr>
          <w:ilvl w:val="0"/>
          <w:numId w:val="19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Promoción de mecanismos de denuncia.</w:t>
      </w:r>
    </w:p>
    <w:p w14:paraId="1931B8FF" w14:textId="54746BB9" w:rsidR="00591D86" w:rsidRPr="00367125" w:rsidRDefault="00080124" w:rsidP="00367125">
      <w:pPr>
        <w:pStyle w:val="Prrafodelista"/>
        <w:numPr>
          <w:ilvl w:val="0"/>
          <w:numId w:val="36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Evaluación y seguimiento de clima </w:t>
      </w:r>
      <w:r w:rsidR="00F33197" w:rsidRPr="00367125">
        <w:rPr>
          <w:rFonts w:ascii="Arial Narrow" w:hAnsi="Arial Narrow"/>
          <w:color w:val="000000" w:themeColor="text1"/>
          <w:sz w:val="24"/>
          <w:szCs w:val="24"/>
        </w:rPr>
        <w:t>organizacional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8A44FEF" w14:textId="77777777" w:rsidR="00C328C9" w:rsidRPr="00367125" w:rsidRDefault="00C328C9" w:rsidP="00367125">
      <w:pPr>
        <w:pStyle w:val="Prrafodelista"/>
        <w:ind w:left="1065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D827DF4" w14:textId="747B874F" w:rsidR="00591D86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 Atención 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a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Denuncias</w:t>
      </w:r>
    </w:p>
    <w:p w14:paraId="7DD3C6BA" w14:textId="0A4A3F3B" w:rsidR="00080124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10.1 </w:t>
      </w:r>
      <w:r w:rsidR="00080124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Recepción de la denuncia</w:t>
      </w:r>
    </w:p>
    <w:p w14:paraId="2FEF073A" w14:textId="370EF69C" w:rsidR="00352859" w:rsidRPr="002A1326" w:rsidRDefault="00352859" w:rsidP="00367125">
      <w:pPr>
        <w:spacing w:before="100" w:beforeAutospacing="1" w:after="12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El proceso inicia con la presentación de la denuncia, la cual puede ser formulada por cualquier persona que forme parte de la comunidad CIATEJ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A.C.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o externa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por los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 xml:space="preserve">anales </w:t>
      </w:r>
      <w:r w:rsidR="00F33197"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o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ficiales (Conforme al Anexo B):</w:t>
      </w:r>
    </w:p>
    <w:p w14:paraId="7FF51259" w14:textId="17342584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Electrónica: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Al correo electrónico oficial </w:t>
      </w:r>
    </w:p>
    <w:p w14:paraId="77CDD375" w14:textId="0701EF1E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Vía Presencial/Escrita: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Presentada ante la Secretaría Ejecutiva del CEPCI</w:t>
      </w:r>
    </w:p>
    <w:p w14:paraId="2E36201F" w14:textId="468FF1AC" w:rsidR="00352859" w:rsidRPr="00367125" w:rsidRDefault="00352859" w:rsidP="00367125">
      <w:pPr>
        <w:pStyle w:val="Prrafodelista"/>
        <w:numPr>
          <w:ilvl w:val="0"/>
          <w:numId w:val="36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Requisitos Mínimos: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La denuncia debe presentarse por escrito y contener, al menos, la narrativa clara de los hechos, especificando las circunstancias de tiempo, modo y lugar en las que se desarrollan</w:t>
      </w:r>
    </w:p>
    <w:p w14:paraId="387913BB" w14:textId="0F3F0A82" w:rsidR="00080124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Dicha denuncia puede ser presentada en el departamento de CCOPG, Posgrado,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Personas </w:t>
      </w:r>
      <w:proofErr w:type="gramStart"/>
      <w:r w:rsidR="00CF73A1">
        <w:rPr>
          <w:rFonts w:ascii="Arial Narrow" w:hAnsi="Arial Narrow"/>
          <w:color w:val="000000" w:themeColor="text1"/>
          <w:sz w:val="24"/>
          <w:szCs w:val="24"/>
        </w:rPr>
        <w:t>Consejeras</w:t>
      </w:r>
      <w:proofErr w:type="gramEnd"/>
      <w:r w:rsidR="00CF73A1">
        <w:rPr>
          <w:rFonts w:ascii="Arial Narrow" w:hAnsi="Arial Narrow"/>
          <w:color w:val="000000" w:themeColor="text1"/>
          <w:sz w:val="24"/>
          <w:szCs w:val="24"/>
        </w:rPr>
        <w:t xml:space="preserve"> del 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Comité de Ética u OIC.</w:t>
      </w:r>
    </w:p>
    <w:p w14:paraId="0C39F695" w14:textId="2F66047E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En caso de presentarla inicialmente en el departamento CCOPG y Posgrado se realizará inmediatamente un análisis de caso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determinando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así si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solución puede ser con base a negociación, mediación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y/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>o con las medidas de protección inmediata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.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E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n caso de tener una gravidez mayor</w:t>
      </w:r>
      <w:r w:rsidR="00CF73A1">
        <w:rPr>
          <w:rFonts w:ascii="Arial Narrow" w:hAnsi="Arial Narrow"/>
          <w:color w:val="000000" w:themeColor="text1"/>
          <w:sz w:val="24"/>
          <w:szCs w:val="24"/>
        </w:rPr>
        <w:t>,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 xml:space="preserve"> se canalizará a las instancias mencionadas.</w:t>
      </w:r>
    </w:p>
    <w:p w14:paraId="411E40F1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C85A5DE" w14:textId="02ACC11C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10.2 Medidas de Protección Inmediata</w:t>
      </w:r>
    </w:p>
    <w:p w14:paraId="0E391C87" w14:textId="24CD09CD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Salvaguarda</w:t>
      </w:r>
      <w:r w:rsidR="00591D86" w:rsidRPr="00367125">
        <w:rPr>
          <w:rFonts w:ascii="Arial Narrow" w:hAnsi="Arial Narrow"/>
          <w:color w:val="000000" w:themeColor="text1"/>
          <w:sz w:val="24"/>
          <w:szCs w:val="24"/>
        </w:rPr>
        <w:t>r</w:t>
      </w: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 la integridad de la persona afectada</w:t>
      </w:r>
    </w:p>
    <w:p w14:paraId="725C9548" w14:textId="664DC729" w:rsidR="00080124" w:rsidRPr="00367125" w:rsidRDefault="00080124" w:rsidP="00367125">
      <w:pPr>
        <w:pStyle w:val="Prrafodelista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Separación preventiva de las partes</w:t>
      </w:r>
    </w:p>
    <w:p w14:paraId="50DE6BC0" w14:textId="77777777" w:rsidR="00F33197" w:rsidRPr="00367125" w:rsidRDefault="00F33197" w:rsidP="00367125">
      <w:pPr>
        <w:pStyle w:val="Prrafodelista"/>
        <w:ind w:left="108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ADF3E1B" w14:textId="7B342B01" w:rsidR="00591D86" w:rsidRPr="00370A46" w:rsidRDefault="00591D86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10.3</w:t>
      </w:r>
      <w:r w:rsidR="0035285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Medidas de protección e investigación </w:t>
      </w:r>
    </w:p>
    <w:p w14:paraId="7D7C2A06" w14:textId="77777777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Cautelares: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En la sesión de análisis, el CEPCI determinará la conveniencia de emitir 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medidas de protección inmediatas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para salvaguardar la integridad de la persona afectada. Estas medidas podrán incluir la separación preventiva o reubicación temporal, y serán propuestas a la unidad administrativa competente para su ejecución.</w:t>
      </w:r>
    </w:p>
    <w:p w14:paraId="024B82CA" w14:textId="77777777" w:rsid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Investigación de la Comisión: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CEPCI turnará el caso a una Comisión (Subcomité) </w:t>
      </w:r>
    </w:p>
    <w:p w14:paraId="65A90A6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53D097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3A4E5749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7E6A6F4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0B70DF53" w14:textId="04341E5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E7BAE84" w14:textId="67553D2E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4C18F171" w14:textId="73F34CD2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57D70D26" w14:textId="70204431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20E50064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DFBFE3D" w14:textId="77777777" w:rsidR="00367125" w:rsidRDefault="00367125" w:rsidP="00367125">
      <w:pPr>
        <w:pStyle w:val="Prrafodelista"/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</w:p>
    <w:p w14:paraId="1F651640" w14:textId="4B3381E6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conformada por sus miembros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electos/as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, la cual se encargará de realizar las diligencias de investigación, recopilación de pruebas, entrevistas a las partes y testigos (garantizando el derecho de audiencia y la imparcialidad).</w:t>
      </w:r>
    </w:p>
    <w:p w14:paraId="7D3C5018" w14:textId="5327BD0B" w:rsidR="00F33197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Mecanismos Alternativos: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Durante esta etapa, la </w:t>
      </w:r>
      <w:r w:rsidR="00CF73A1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c</w:t>
      </w: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omisión también podrá sugerir y llevar </w:t>
      </w:r>
    </w:p>
    <w:p w14:paraId="041368A6" w14:textId="77B1DB70" w:rsidR="00352859" w:rsidRPr="00367125" w:rsidRDefault="00352859" w:rsidP="00367125">
      <w:pPr>
        <w:pStyle w:val="Prrafodelista"/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367125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>a cabo, si son pertinentes al caso y las partes están de acuerdo, procesos de mediación o conciliación.</w:t>
      </w:r>
    </w:p>
    <w:p w14:paraId="372C329A" w14:textId="5B1C2060" w:rsidR="00591D86" w:rsidRPr="00367125" w:rsidRDefault="00591D86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C264A54" w14:textId="2539C7BB" w:rsidR="00C328C9" w:rsidRPr="00370A46" w:rsidRDefault="00352859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10.4 Resolución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, sanciones y cierre</w:t>
      </w:r>
    </w:p>
    <w:p w14:paraId="7369482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Dictamen del CEPCI: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Comité deberá concluir la atención y emitir su dictamen sobre el caso en un plazo máximo de cuatro meses a partir de su registro, conforme al procedimiento establecido.</w:t>
      </w:r>
    </w:p>
    <w:p w14:paraId="2903273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Canalización al OIC: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Si el Comité determina la existencia de un probable incumplimiento al Código de Ética, a las Reglas de Integridad o al Código de Conducta, o por la gravedad del caso, el asunto será 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canalizado formalmente al Órgano Interno de Control (OIC)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del CIATEJ.</w:t>
      </w:r>
    </w:p>
    <w:p w14:paraId="7904316F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Fincamiento de Responsabilidades: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El OIC es la instancia competente para llevar a cabo el procedimiento de responsabilidad administrativa e imponer las sanciones correspondientes (amonestación, suspensión, destitución, etc.).</w:t>
      </w:r>
    </w:p>
    <w:p w14:paraId="30E961F7" w14:textId="77777777" w:rsidR="00C328C9" w:rsidRPr="002A1326" w:rsidRDefault="00C328C9" w:rsidP="00367125">
      <w:pPr>
        <w:numPr>
          <w:ilvl w:val="0"/>
          <w:numId w:val="29"/>
        </w:num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</w:pP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  <w:lang w:eastAsia="es-419"/>
        </w:rPr>
        <w:t>Notificación Final:</w:t>
      </w:r>
      <w:r w:rsidRPr="002A132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s-419"/>
        </w:rPr>
        <w:t xml:space="preserve"> Se notificará a las partes involucradas el dictamen del Comité y, en su caso, la resolución definitiva del OIC, dando por concluido el proceso formal de atención.</w:t>
      </w:r>
    </w:p>
    <w:p w14:paraId="3AD7D55A" w14:textId="77777777" w:rsidR="00F33197" w:rsidRPr="00367125" w:rsidRDefault="00F33197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2E6131A" w14:textId="3C44EA28" w:rsidR="00C328C9" w:rsidRPr="00370A46" w:rsidRDefault="00F33197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10.5 Seguimiento </w:t>
      </w:r>
    </w:p>
    <w:p w14:paraId="7CC0634E" w14:textId="53A33926" w:rsidR="00352859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Seguimiento de caso. </w:t>
      </w:r>
    </w:p>
    <w:p w14:paraId="37D446CA" w14:textId="77777777" w:rsidR="00367125" w:rsidRPr="00370A46" w:rsidRDefault="00367125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26E29E35" w14:textId="60CDB157" w:rsidR="007E35FC" w:rsidRPr="00D008D2" w:rsidRDefault="00080124" w:rsidP="007E3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F33197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>. Anexos</w:t>
      </w:r>
      <w:r w:rsidR="00C328C9" w:rsidRPr="00370A46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del Protocolo </w:t>
      </w:r>
      <w:hyperlink r:id="rId7" w:history="1">
        <w:r w:rsidR="002E4C71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MAESTRÍA EN CIENCIAS DE LA FLORICULTURA</w:t>
        </w:r>
      </w:hyperlink>
    </w:p>
    <w:p w14:paraId="61D0B483" w14:textId="5EDC119F" w:rsidR="00080124" w:rsidRPr="00370A46" w:rsidRDefault="00080124" w:rsidP="00367125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079577D" w14:textId="7AECC145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A Pronunciamiento Cero Tolerancia al Hostigamiento Sexual y Acoso Sexual </w:t>
      </w:r>
      <w:hyperlink r:id="rId8" w:history="1">
        <w:r w:rsidR="007E35FC">
          <w:rPr>
            <w:rStyle w:val="Hipervnculo"/>
          </w:rPr>
          <w:t>Integridad Pública</w:t>
        </w:r>
      </w:hyperlink>
    </w:p>
    <w:p w14:paraId="2A1E477B" w14:textId="58D75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B Procedimiento para Presentación de Denuncias ante el CEPCI del CIATEJ, </w:t>
      </w:r>
      <w:r w:rsidR="00E87451" w:rsidRPr="00367125">
        <w:rPr>
          <w:rFonts w:ascii="Arial Narrow" w:hAnsi="Arial Narrow"/>
          <w:color w:val="000000" w:themeColor="text1"/>
          <w:sz w:val="24"/>
          <w:szCs w:val="24"/>
        </w:rPr>
        <w:t>A.C.</w:t>
      </w:r>
      <w:r w:rsidR="007E35FC" w:rsidRPr="007E35FC">
        <w:t xml:space="preserve"> </w:t>
      </w:r>
      <w:hyperlink r:id="rId9" w:history="1">
        <w:r w:rsidR="007E35FC">
          <w:rPr>
            <w:rStyle w:val="Hipervnculo"/>
          </w:rPr>
          <w:t>Integridad Pública</w:t>
        </w:r>
      </w:hyperlink>
    </w:p>
    <w:p w14:paraId="13B8090E" w14:textId="68A31666" w:rsidR="00C328C9" w:rsidRPr="00370A46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Anexo C </w:t>
      </w:r>
      <w:r w:rsidR="00370A46">
        <w:rPr>
          <w:rFonts w:ascii="Arial Narrow" w:hAnsi="Arial Narrow"/>
          <w:color w:val="000000" w:themeColor="text1"/>
          <w:sz w:val="24"/>
          <w:szCs w:val="24"/>
        </w:rPr>
        <w:t>Lineamiento de estudios de</w:t>
      </w:r>
      <w:r w:rsidRPr="00370A46">
        <w:rPr>
          <w:rFonts w:ascii="Arial Narrow" w:hAnsi="Arial Narrow"/>
          <w:color w:val="000000" w:themeColor="text1"/>
          <w:sz w:val="24"/>
          <w:szCs w:val="24"/>
        </w:rPr>
        <w:t xml:space="preserve"> posgrado </w:t>
      </w:r>
      <w:hyperlink r:id="rId10" w:history="1">
        <w:r w:rsidR="007E35FC">
          <w:rPr>
            <w:rStyle w:val="Hipervnculo"/>
          </w:rPr>
          <w:t>Nuestra Normatividad</w:t>
        </w:r>
      </w:hyperlink>
    </w:p>
    <w:p w14:paraId="7A2BE93A" w14:textId="6466098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D Formato atención quejas del departamento CCOPG </w:t>
      </w:r>
    </w:p>
    <w:p w14:paraId="2BB0B76A" w14:textId="691CC14F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>Anexo E Certificación del CIATEJ en la NMX-R-025-SCFI-2015 en nivel plata</w:t>
      </w:r>
    </w:p>
    <w:p w14:paraId="0F30D9C1" w14:textId="208AE849" w:rsidR="00C328C9" w:rsidRPr="00367125" w:rsidRDefault="00C328C9" w:rsidP="00367125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67125">
        <w:rPr>
          <w:rFonts w:ascii="Arial Narrow" w:hAnsi="Arial Narrow"/>
          <w:color w:val="000000" w:themeColor="text1"/>
          <w:sz w:val="24"/>
          <w:szCs w:val="24"/>
        </w:rPr>
        <w:t xml:space="preserve">Anexo F Informe de certificación del CIATEJ en la NMX-R-025-SCFI-2015 subiendo a nivel Oro. </w:t>
      </w:r>
    </w:p>
    <w:p w14:paraId="30BC7036" w14:textId="77777777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7CF09C08" w14:textId="4B63FF50" w:rsidR="00E87451" w:rsidRPr="00367125" w:rsidRDefault="00E87451" w:rsidP="00367125">
      <w:pPr>
        <w:jc w:val="both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67D7E501" w14:textId="69AE4314" w:rsidR="00C328C9" w:rsidRPr="00367125" w:rsidRDefault="00C328C9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5220315" w14:textId="7F45806D" w:rsidR="00080124" w:rsidRPr="00367125" w:rsidRDefault="00080124" w:rsidP="0036712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80124" w:rsidRPr="0036712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5D87" w14:textId="77777777" w:rsidR="006E5AFC" w:rsidRDefault="006E5AFC" w:rsidP="00E456E0">
      <w:pPr>
        <w:spacing w:after="0" w:line="240" w:lineRule="auto"/>
      </w:pPr>
      <w:r>
        <w:separator/>
      </w:r>
    </w:p>
  </w:endnote>
  <w:endnote w:type="continuationSeparator" w:id="0">
    <w:p w14:paraId="601F424A" w14:textId="77777777" w:rsidR="006E5AFC" w:rsidRDefault="006E5AFC" w:rsidP="00E4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0903" w14:textId="77777777" w:rsidR="006E5AFC" w:rsidRDefault="006E5AFC" w:rsidP="00E456E0">
      <w:pPr>
        <w:spacing w:after="0" w:line="240" w:lineRule="auto"/>
      </w:pPr>
      <w:r>
        <w:separator/>
      </w:r>
    </w:p>
  </w:footnote>
  <w:footnote w:type="continuationSeparator" w:id="0">
    <w:p w14:paraId="6B84D843" w14:textId="77777777" w:rsidR="006E5AFC" w:rsidRDefault="006E5AFC" w:rsidP="00E4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7F82" w14:textId="3C6E649E" w:rsidR="00E456E0" w:rsidRDefault="00E456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6CD26" wp14:editId="77E0D0ED">
          <wp:simplePos x="0" y="0"/>
          <wp:positionH relativeFrom="column">
            <wp:posOffset>-1057275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9B3"/>
    <w:multiLevelType w:val="multilevel"/>
    <w:tmpl w:val="486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46AC4"/>
    <w:multiLevelType w:val="hybridMultilevel"/>
    <w:tmpl w:val="39F277B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C06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D7E44"/>
    <w:multiLevelType w:val="multilevel"/>
    <w:tmpl w:val="B11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92EFC"/>
    <w:multiLevelType w:val="hybridMultilevel"/>
    <w:tmpl w:val="41D2A648"/>
    <w:lvl w:ilvl="0" w:tplc="3EDE5FAA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505D"/>
    <w:multiLevelType w:val="multilevel"/>
    <w:tmpl w:val="90D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B42D2"/>
    <w:multiLevelType w:val="multilevel"/>
    <w:tmpl w:val="6A0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1059C"/>
    <w:multiLevelType w:val="multilevel"/>
    <w:tmpl w:val="D382AB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0426E"/>
    <w:multiLevelType w:val="hybridMultilevel"/>
    <w:tmpl w:val="5D1C7A8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67A8"/>
    <w:multiLevelType w:val="multilevel"/>
    <w:tmpl w:val="ED8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A4D50"/>
    <w:multiLevelType w:val="hybridMultilevel"/>
    <w:tmpl w:val="7F24F9FE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70CB"/>
    <w:multiLevelType w:val="hybridMultilevel"/>
    <w:tmpl w:val="4396557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9A3"/>
    <w:multiLevelType w:val="hybridMultilevel"/>
    <w:tmpl w:val="D73A53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74B7"/>
    <w:multiLevelType w:val="multilevel"/>
    <w:tmpl w:val="C7F4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D64FD"/>
    <w:multiLevelType w:val="multilevel"/>
    <w:tmpl w:val="381E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3F69"/>
    <w:multiLevelType w:val="multilevel"/>
    <w:tmpl w:val="9F02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27FE1"/>
    <w:multiLevelType w:val="multilevel"/>
    <w:tmpl w:val="6E4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4153A"/>
    <w:multiLevelType w:val="hybridMultilevel"/>
    <w:tmpl w:val="115E9DE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B4D74"/>
    <w:multiLevelType w:val="hybridMultilevel"/>
    <w:tmpl w:val="2A86DEDC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1DF8"/>
    <w:multiLevelType w:val="hybridMultilevel"/>
    <w:tmpl w:val="EA2A010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38B4"/>
    <w:multiLevelType w:val="multilevel"/>
    <w:tmpl w:val="3AB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952E8"/>
    <w:multiLevelType w:val="multilevel"/>
    <w:tmpl w:val="B6D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210B7"/>
    <w:multiLevelType w:val="multilevel"/>
    <w:tmpl w:val="CEAA0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E7F33"/>
    <w:multiLevelType w:val="multilevel"/>
    <w:tmpl w:val="430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D2B1E"/>
    <w:multiLevelType w:val="multilevel"/>
    <w:tmpl w:val="A08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E2F45"/>
    <w:multiLevelType w:val="hybridMultilevel"/>
    <w:tmpl w:val="443AB45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357C4"/>
    <w:multiLevelType w:val="multilevel"/>
    <w:tmpl w:val="8F760E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3A5B64"/>
    <w:multiLevelType w:val="multilevel"/>
    <w:tmpl w:val="A02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B1E86"/>
    <w:multiLevelType w:val="hybridMultilevel"/>
    <w:tmpl w:val="7994ADC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A4026"/>
    <w:multiLevelType w:val="multilevel"/>
    <w:tmpl w:val="5E2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11D70"/>
    <w:multiLevelType w:val="multilevel"/>
    <w:tmpl w:val="05D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2271C"/>
    <w:multiLevelType w:val="multilevel"/>
    <w:tmpl w:val="3D4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31012"/>
    <w:multiLevelType w:val="hybridMultilevel"/>
    <w:tmpl w:val="47CE1850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01AA2"/>
    <w:multiLevelType w:val="multilevel"/>
    <w:tmpl w:val="CD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63876"/>
    <w:multiLevelType w:val="hybridMultilevel"/>
    <w:tmpl w:val="65C48D9A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07F4"/>
    <w:multiLevelType w:val="hybridMultilevel"/>
    <w:tmpl w:val="95345934"/>
    <w:lvl w:ilvl="0" w:tplc="3EDE5FAA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336A"/>
    <w:multiLevelType w:val="hybridMultilevel"/>
    <w:tmpl w:val="4A0AB4C8"/>
    <w:lvl w:ilvl="0" w:tplc="3EDE5FAA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4"/>
  </w:num>
  <w:num w:numId="4">
    <w:abstractNumId w:val="21"/>
  </w:num>
  <w:num w:numId="5">
    <w:abstractNumId w:val="23"/>
  </w:num>
  <w:num w:numId="6">
    <w:abstractNumId w:val="3"/>
  </w:num>
  <w:num w:numId="7">
    <w:abstractNumId w:val="6"/>
  </w:num>
  <w:num w:numId="8">
    <w:abstractNumId w:val="5"/>
  </w:num>
  <w:num w:numId="9">
    <w:abstractNumId w:val="31"/>
  </w:num>
  <w:num w:numId="10">
    <w:abstractNumId w:val="0"/>
  </w:num>
  <w:num w:numId="11">
    <w:abstractNumId w:val="33"/>
  </w:num>
  <w:num w:numId="12">
    <w:abstractNumId w:val="29"/>
  </w:num>
  <w:num w:numId="13">
    <w:abstractNumId w:val="30"/>
  </w:num>
  <w:num w:numId="14">
    <w:abstractNumId w:val="16"/>
  </w:num>
  <w:num w:numId="15">
    <w:abstractNumId w:val="14"/>
  </w:num>
  <w:num w:numId="16">
    <w:abstractNumId w:val="27"/>
  </w:num>
  <w:num w:numId="17">
    <w:abstractNumId w:val="25"/>
  </w:num>
  <w:num w:numId="18">
    <w:abstractNumId w:val="10"/>
  </w:num>
  <w:num w:numId="19">
    <w:abstractNumId w:val="1"/>
  </w:num>
  <w:num w:numId="20">
    <w:abstractNumId w:val="8"/>
  </w:num>
  <w:num w:numId="21">
    <w:abstractNumId w:val="34"/>
  </w:num>
  <w:num w:numId="22">
    <w:abstractNumId w:val="18"/>
  </w:num>
  <w:num w:numId="23">
    <w:abstractNumId w:val="28"/>
  </w:num>
  <w:num w:numId="24">
    <w:abstractNumId w:val="19"/>
  </w:num>
  <w:num w:numId="25">
    <w:abstractNumId w:val="32"/>
  </w:num>
  <w:num w:numId="26">
    <w:abstractNumId w:val="13"/>
  </w:num>
  <w:num w:numId="27">
    <w:abstractNumId w:val="17"/>
  </w:num>
  <w:num w:numId="28">
    <w:abstractNumId w:val="20"/>
  </w:num>
  <w:num w:numId="29">
    <w:abstractNumId w:val="2"/>
  </w:num>
  <w:num w:numId="30">
    <w:abstractNumId w:val="22"/>
  </w:num>
  <w:num w:numId="31">
    <w:abstractNumId w:val="35"/>
  </w:num>
  <w:num w:numId="32">
    <w:abstractNumId w:val="12"/>
  </w:num>
  <w:num w:numId="33">
    <w:abstractNumId w:val="7"/>
  </w:num>
  <w:num w:numId="34">
    <w:abstractNumId w:val="4"/>
  </w:num>
  <w:num w:numId="35">
    <w:abstractNumId w:val="36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0"/>
    <w:rsid w:val="00080124"/>
    <w:rsid w:val="000E65F2"/>
    <w:rsid w:val="002E4C71"/>
    <w:rsid w:val="00352859"/>
    <w:rsid w:val="00367125"/>
    <w:rsid w:val="00370A46"/>
    <w:rsid w:val="004F64A5"/>
    <w:rsid w:val="00591D86"/>
    <w:rsid w:val="00665A6F"/>
    <w:rsid w:val="00684ECB"/>
    <w:rsid w:val="00690071"/>
    <w:rsid w:val="006E5AFC"/>
    <w:rsid w:val="00770433"/>
    <w:rsid w:val="007E35FC"/>
    <w:rsid w:val="00C328C9"/>
    <w:rsid w:val="00CF73A1"/>
    <w:rsid w:val="00DA1532"/>
    <w:rsid w:val="00E456E0"/>
    <w:rsid w:val="00E87451"/>
    <w:rsid w:val="00ED6A55"/>
    <w:rsid w:val="00F33197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641516"/>
  <w15:chartTrackingRefBased/>
  <w15:docId w15:val="{E59D5994-E458-44CB-AD36-DEB56F6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6E0"/>
  </w:style>
  <w:style w:type="paragraph" w:styleId="Piedepgina">
    <w:name w:val="footer"/>
    <w:basedOn w:val="Normal"/>
    <w:link w:val="PiedepginaCar"/>
    <w:uiPriority w:val="99"/>
    <w:unhideWhenUsed/>
    <w:rsid w:val="00E45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6E0"/>
  </w:style>
  <w:style w:type="paragraph" w:styleId="Prrafodelista">
    <w:name w:val="List Paragraph"/>
    <w:basedOn w:val="Normal"/>
    <w:uiPriority w:val="34"/>
    <w:qFormat/>
    <w:rsid w:val="0077043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70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.mx/el-ciatej/integridad-publ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atej-my.sharepoint.com/:f:/g/personal/msantana_ciatej_mx/EglwKdxHPLxHm7eN2xvFRUgB9hu_F1acpv-0C6EUN80Rcg?e=1IcN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atej.mx/estudia-ciatej/posgrados/normativ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atej.mx/el-ciatej/integridad-publ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Erika Nahomy Marino Marmolejo</cp:lastModifiedBy>
  <cp:revision>3</cp:revision>
  <dcterms:created xsi:type="dcterms:W3CDTF">2025-11-06T18:29:00Z</dcterms:created>
  <dcterms:modified xsi:type="dcterms:W3CDTF">2025-11-10T15:25:00Z</dcterms:modified>
</cp:coreProperties>
</file>