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45DBA" w14:textId="7ED260F3" w:rsidR="00F442B8" w:rsidRPr="00AA79C5" w:rsidRDefault="00AA79C5" w:rsidP="00F442B8">
      <w:pPr>
        <w:jc w:val="right"/>
        <w:rPr>
          <w:i/>
          <w:iCs/>
        </w:rPr>
      </w:pPr>
      <w:r w:rsidRPr="00AA79C5">
        <w:rPr>
          <w:i/>
          <w:iCs/>
        </w:rPr>
        <w:t>Zapopan</w:t>
      </w:r>
      <w:r w:rsidR="001D77F1" w:rsidRPr="00AA79C5">
        <w:rPr>
          <w:i/>
          <w:iCs/>
        </w:rPr>
        <w:t xml:space="preserve"> Jalisco a </w:t>
      </w:r>
      <w:r w:rsidRPr="00AA79C5">
        <w:rPr>
          <w:i/>
          <w:iCs/>
        </w:rPr>
        <w:t>10</w:t>
      </w:r>
      <w:r w:rsidR="001D77F1" w:rsidRPr="00AA79C5">
        <w:rPr>
          <w:i/>
          <w:iCs/>
        </w:rPr>
        <w:t xml:space="preserve"> de noviembre de 2025</w:t>
      </w:r>
    </w:p>
    <w:p w14:paraId="704832F4" w14:textId="77777777" w:rsidR="00F442B8" w:rsidRDefault="00F442B8" w:rsidP="000042C5">
      <w:pPr>
        <w:rPr>
          <w:rFonts w:ascii="Arial" w:hAnsi="Arial" w:cs="Arial"/>
          <w:color w:val="000000"/>
        </w:rPr>
      </w:pPr>
    </w:p>
    <w:p w14:paraId="53DA6E8E" w14:textId="198F370D" w:rsidR="000042C5" w:rsidRPr="00AA79C5" w:rsidRDefault="00A206E8" w:rsidP="00AA79C5">
      <w:pPr>
        <w:jc w:val="center"/>
        <w:rPr>
          <w:rFonts w:ascii="Arial" w:hAnsi="Arial" w:cs="Arial"/>
          <w:b/>
          <w:bCs/>
          <w:color w:val="000000"/>
        </w:rPr>
      </w:pPr>
      <w:r w:rsidRPr="00A206E8">
        <w:rPr>
          <w:rFonts w:ascii="Arial" w:hAnsi="Arial" w:cs="Arial"/>
          <w:b/>
          <w:bCs/>
          <w:color w:val="000000"/>
        </w:rPr>
        <w:t>Acciones para fortalecer el desarrollo profesional de los egresados</w:t>
      </w:r>
      <w:r w:rsidR="00AA79C5" w:rsidRPr="00AA79C5">
        <w:rPr>
          <w:rFonts w:ascii="Arial" w:hAnsi="Arial" w:cs="Arial"/>
          <w:b/>
          <w:bCs/>
          <w:color w:val="000000"/>
        </w:rPr>
        <w:t xml:space="preserve"> de la Maestría en Ciencia de la Floricultura del CIATEJ</w:t>
      </w:r>
    </w:p>
    <w:p w14:paraId="6E2264D3" w14:textId="77777777" w:rsidR="00F45405" w:rsidRDefault="00F45405" w:rsidP="000042C5">
      <w:pPr>
        <w:rPr>
          <w:rFonts w:ascii="Arial" w:hAnsi="Arial" w:cs="Arial"/>
          <w:color w:val="000000"/>
        </w:rPr>
      </w:pPr>
    </w:p>
    <w:p w14:paraId="469C6E45" w14:textId="7E72A31B" w:rsidR="00692FFD" w:rsidRPr="00692FFD" w:rsidRDefault="00794E59" w:rsidP="00692FFD">
      <w:pPr>
        <w:spacing w:after="200"/>
        <w:jc w:val="both"/>
        <w:rPr>
          <w:rFonts w:ascii="Times New Roman" w:eastAsia="Calibri" w:hAnsi="Times New Roman" w:cs="Times New Roman"/>
          <w:b/>
          <w:lang w:val="es-MX"/>
        </w:rPr>
      </w:pPr>
      <w:r>
        <w:rPr>
          <w:rFonts w:ascii="Times New Roman" w:eastAsia="Calibri" w:hAnsi="Times New Roman" w:cs="Times New Roman"/>
          <w:b/>
          <w:lang w:val="es-MX"/>
        </w:rPr>
        <w:t>R</w:t>
      </w:r>
      <w:r w:rsidRPr="00692FFD">
        <w:rPr>
          <w:rFonts w:ascii="Times New Roman" w:eastAsia="Calibri" w:hAnsi="Times New Roman" w:cs="Times New Roman"/>
          <w:b/>
          <w:lang w:val="es-MX"/>
        </w:rPr>
        <w:t>edes de egresados</w:t>
      </w:r>
    </w:p>
    <w:p w14:paraId="7A3F28B3" w14:textId="532B459E" w:rsidR="00692FFD" w:rsidRPr="00692FFD" w:rsidRDefault="00692FFD" w:rsidP="00692FFD">
      <w:pPr>
        <w:spacing w:after="200" w:line="276" w:lineRule="auto"/>
        <w:jc w:val="both"/>
        <w:rPr>
          <w:rFonts w:ascii="Times New Roman" w:eastAsia="Calibri" w:hAnsi="Times New Roman" w:cs="Times New Roman"/>
          <w:lang w:val="es-MX"/>
        </w:rPr>
      </w:pPr>
      <w:r w:rsidRPr="00692FFD">
        <w:rPr>
          <w:rFonts w:ascii="Times New Roman" w:eastAsia="Calibri" w:hAnsi="Times New Roman" w:cs="Times New Roman"/>
          <w:lang w:val="es-MX"/>
        </w:rPr>
        <w:t>La Maestría en Ciencias de la Floricultura comenzó operaciones en septiembre de 2008, en 12 años de operación se han tenido 58 estudiantes con inscripción de los cuales 47 han obtenido su grado académico.</w:t>
      </w:r>
    </w:p>
    <w:p w14:paraId="640960D9" w14:textId="1F68B5A6" w:rsidR="00692FFD" w:rsidRPr="00692FFD" w:rsidRDefault="00692FFD" w:rsidP="00692FFD">
      <w:pPr>
        <w:spacing w:after="200" w:line="276" w:lineRule="auto"/>
        <w:jc w:val="both"/>
        <w:rPr>
          <w:rFonts w:ascii="Times New Roman" w:eastAsia="Calibri" w:hAnsi="Times New Roman" w:cs="Times New Roman"/>
          <w:lang w:val="es-MX"/>
        </w:rPr>
      </w:pPr>
      <w:r w:rsidRPr="00692FFD">
        <w:rPr>
          <w:rFonts w:ascii="Times New Roman" w:eastAsia="Calibri" w:hAnsi="Times New Roman" w:cs="Times New Roman"/>
          <w:lang w:val="es-MX"/>
        </w:rPr>
        <w:t>Como parte de las estrategias de mejora de los posgrados del Centro en 2019 se aprobó por el Consejo Institucional de Posgrado el Programa Institucional de Seguimiento de Egresados de Posgrado (PISEP) este programa comprende diferentes estrategias institucionales para la comunicación con las y los graduados de posgrado del Centro. Una de estas estrategias son los estudios de seguimiento de egresados que tienen como objetivos:</w:t>
      </w:r>
    </w:p>
    <w:p w14:paraId="56D54E8E" w14:textId="77777777" w:rsidR="00692FFD" w:rsidRPr="00692FFD" w:rsidRDefault="00692FFD" w:rsidP="00692FFD">
      <w:pPr>
        <w:numPr>
          <w:ilvl w:val="0"/>
          <w:numId w:val="8"/>
        </w:numPr>
        <w:spacing w:after="200" w:line="276" w:lineRule="auto"/>
        <w:contextualSpacing/>
        <w:jc w:val="both"/>
        <w:rPr>
          <w:rFonts w:ascii="Times New Roman" w:eastAsia="Calibri" w:hAnsi="Times New Roman" w:cs="Times New Roman"/>
          <w:lang w:val="es-MX"/>
        </w:rPr>
      </w:pPr>
      <w:r w:rsidRPr="00692FFD">
        <w:rPr>
          <w:rFonts w:ascii="Times New Roman" w:eastAsia="Calibri" w:hAnsi="Times New Roman" w:cs="Times New Roman"/>
          <w:lang w:val="es-MX"/>
        </w:rPr>
        <w:t>Evaluar y analizar la pertinencia de los planes y programas de estudio ofertados.</w:t>
      </w:r>
    </w:p>
    <w:p w14:paraId="503382BD" w14:textId="77777777" w:rsidR="00692FFD" w:rsidRPr="00692FFD" w:rsidRDefault="00692FFD" w:rsidP="00692FFD">
      <w:pPr>
        <w:numPr>
          <w:ilvl w:val="0"/>
          <w:numId w:val="8"/>
        </w:numPr>
        <w:spacing w:after="200" w:line="276" w:lineRule="auto"/>
        <w:contextualSpacing/>
        <w:jc w:val="both"/>
        <w:rPr>
          <w:rFonts w:ascii="Times New Roman" w:eastAsia="Calibri" w:hAnsi="Times New Roman" w:cs="Times New Roman"/>
          <w:lang w:val="es-MX"/>
        </w:rPr>
      </w:pPr>
      <w:r w:rsidRPr="00692FFD">
        <w:rPr>
          <w:rFonts w:ascii="Times New Roman" w:eastAsia="Calibri" w:hAnsi="Times New Roman" w:cs="Times New Roman"/>
          <w:lang w:val="es-MX"/>
        </w:rPr>
        <w:t>Tener conocimiento del desarrollo profesional de los egresados.</w:t>
      </w:r>
    </w:p>
    <w:p w14:paraId="632B6EBD" w14:textId="662143AA" w:rsidR="00692FFD" w:rsidRDefault="00692FFD" w:rsidP="00692FFD">
      <w:pPr>
        <w:numPr>
          <w:ilvl w:val="0"/>
          <w:numId w:val="8"/>
        </w:numPr>
        <w:spacing w:after="200" w:line="276" w:lineRule="auto"/>
        <w:contextualSpacing/>
        <w:jc w:val="both"/>
        <w:rPr>
          <w:rFonts w:ascii="Times New Roman" w:eastAsia="Calibri" w:hAnsi="Times New Roman" w:cs="Times New Roman"/>
          <w:lang w:val="es-MX"/>
        </w:rPr>
      </w:pPr>
      <w:r w:rsidRPr="00692FFD">
        <w:rPr>
          <w:rFonts w:ascii="Times New Roman" w:eastAsia="Calibri" w:hAnsi="Times New Roman" w:cs="Times New Roman"/>
          <w:lang w:val="es-MX"/>
        </w:rPr>
        <w:t>Valorar el grado de satisfacción respecto a la formación recibida en el Posgrado</w:t>
      </w:r>
      <w:r w:rsidR="00975F8C">
        <w:rPr>
          <w:rFonts w:ascii="Times New Roman" w:eastAsia="Calibri" w:hAnsi="Times New Roman" w:cs="Times New Roman"/>
          <w:lang w:val="es-MX"/>
        </w:rPr>
        <w:t>.</w:t>
      </w:r>
    </w:p>
    <w:p w14:paraId="12A772B6" w14:textId="53D65825" w:rsidR="00975F8C" w:rsidRDefault="00975F8C" w:rsidP="00692FFD">
      <w:pPr>
        <w:spacing w:after="200" w:line="276" w:lineRule="auto"/>
        <w:jc w:val="both"/>
        <w:rPr>
          <w:rFonts w:ascii="Times New Roman" w:eastAsia="Calibri" w:hAnsi="Times New Roman" w:cs="Times New Roman"/>
          <w:lang w:val="es-MX"/>
        </w:rPr>
      </w:pPr>
      <w:r w:rsidRPr="00692FFD">
        <w:rPr>
          <w:rFonts w:ascii="Times New Roman" w:eastAsia="Calibri" w:hAnsi="Times New Roman" w:cs="Times New Roman"/>
          <w:lang w:val="es-MX"/>
        </w:rPr>
        <w:t>De acuerdo a las recomendaciones de la Asociación Nacional de Universidades e Instituciones de Educación Superior (ANUIES) en su “Esquema básico para estudios de egresados” (1998) respecto a la realización de este tipo de estudios, se recomienda que hayan transcurrido al menos cinco años de egreso para hacer el seguimiento. Cabe señalar que este esquema está orientado al nivel licenciatura y el tiempo transcurrido al egreso para realizar el estudio es igual al tiempo oficial de estudios.</w:t>
      </w:r>
    </w:p>
    <w:p w14:paraId="19560759" w14:textId="7A75E6F9" w:rsidR="00692FFD" w:rsidRPr="00692FFD" w:rsidRDefault="00692FFD" w:rsidP="00692FFD">
      <w:pPr>
        <w:spacing w:after="200" w:line="276" w:lineRule="auto"/>
        <w:jc w:val="both"/>
        <w:rPr>
          <w:rFonts w:ascii="Times New Roman" w:eastAsia="Calibri" w:hAnsi="Times New Roman" w:cs="Times New Roman"/>
          <w:lang w:val="es-MX"/>
        </w:rPr>
      </w:pPr>
      <w:r w:rsidRPr="00692FFD">
        <w:rPr>
          <w:rFonts w:ascii="Times New Roman" w:eastAsia="Calibri" w:hAnsi="Times New Roman" w:cs="Times New Roman"/>
          <w:lang w:val="es-MX"/>
        </w:rPr>
        <w:t>En este sentido en el PISEP se consideraron dos años después del egreso para realizar el estudio, por este motivo se</w:t>
      </w:r>
      <w:r w:rsidR="00794E59">
        <w:rPr>
          <w:rFonts w:ascii="Times New Roman" w:eastAsia="Calibri" w:hAnsi="Times New Roman" w:cs="Times New Roman"/>
          <w:lang w:val="es-MX"/>
        </w:rPr>
        <w:t xml:space="preserve"> han </w:t>
      </w:r>
      <w:r w:rsidRPr="00692FFD">
        <w:rPr>
          <w:rFonts w:ascii="Times New Roman" w:eastAsia="Calibri" w:hAnsi="Times New Roman" w:cs="Times New Roman"/>
          <w:lang w:val="es-MX"/>
        </w:rPr>
        <w:t>realiz</w:t>
      </w:r>
      <w:r w:rsidR="00794E59">
        <w:rPr>
          <w:rFonts w:ascii="Times New Roman" w:eastAsia="Calibri" w:hAnsi="Times New Roman" w:cs="Times New Roman"/>
          <w:lang w:val="es-MX"/>
        </w:rPr>
        <w:t>ado seguimiento de egresados</w:t>
      </w:r>
      <w:r w:rsidRPr="00692FFD">
        <w:rPr>
          <w:rFonts w:ascii="Times New Roman" w:eastAsia="Calibri" w:hAnsi="Times New Roman" w:cs="Times New Roman"/>
          <w:lang w:val="es-MX"/>
        </w:rPr>
        <w:t xml:space="preserve"> </w:t>
      </w:r>
      <w:r w:rsidR="00794E59">
        <w:rPr>
          <w:rFonts w:ascii="Times New Roman" w:eastAsia="Calibri" w:hAnsi="Times New Roman" w:cs="Times New Roman"/>
          <w:lang w:val="es-MX"/>
        </w:rPr>
        <w:t>donde se detectaron algunos aspectos que a continuación se mencionan:</w:t>
      </w:r>
    </w:p>
    <w:p w14:paraId="1464B268" w14:textId="062DAA5E" w:rsidR="00692FFD" w:rsidRPr="00692FFD" w:rsidRDefault="00794E59" w:rsidP="00692FFD">
      <w:pPr>
        <w:spacing w:after="200"/>
        <w:jc w:val="both"/>
        <w:rPr>
          <w:rFonts w:ascii="Times New Roman" w:eastAsia="Calibri" w:hAnsi="Times New Roman" w:cs="Times New Roman"/>
          <w:b/>
          <w:lang w:val="es-MX"/>
        </w:rPr>
      </w:pPr>
      <w:r>
        <w:rPr>
          <w:rFonts w:ascii="Times New Roman" w:eastAsia="Calibri" w:hAnsi="Times New Roman" w:cs="Times New Roman"/>
          <w:b/>
          <w:lang w:val="es-MX"/>
        </w:rPr>
        <w:t>A</w:t>
      </w:r>
      <w:r w:rsidRPr="00692FFD">
        <w:rPr>
          <w:rFonts w:ascii="Times New Roman" w:eastAsia="Calibri" w:hAnsi="Times New Roman" w:cs="Times New Roman"/>
          <w:b/>
          <w:lang w:val="es-MX"/>
        </w:rPr>
        <w:t>cciones de colaboración con los sectores de la sociedad</w:t>
      </w:r>
    </w:p>
    <w:p w14:paraId="761D07C9" w14:textId="0555A5A0" w:rsidR="00692FFD" w:rsidRPr="00692FFD" w:rsidRDefault="00692FFD" w:rsidP="00692FFD">
      <w:pPr>
        <w:spacing w:line="276" w:lineRule="auto"/>
        <w:jc w:val="both"/>
        <w:rPr>
          <w:rFonts w:ascii="Times New Roman" w:eastAsia="Times New Roman" w:hAnsi="Times New Roman" w:cs="Times New Roman"/>
          <w:lang w:val="es-MX" w:eastAsia="es-MX"/>
        </w:rPr>
      </w:pPr>
      <w:r w:rsidRPr="00692FFD">
        <w:rPr>
          <w:rFonts w:ascii="Times New Roman" w:eastAsia="Times New Roman" w:hAnsi="Times New Roman" w:cs="Times New Roman"/>
          <w:lang w:val="es-MX" w:eastAsia="es-MX"/>
        </w:rPr>
        <w:t xml:space="preserve">El principal mecanismo de colaboración de las y los estudiantes e integrantes del </w:t>
      </w:r>
      <w:r w:rsidR="00794E59">
        <w:rPr>
          <w:rFonts w:ascii="Times New Roman" w:eastAsia="Times New Roman" w:hAnsi="Times New Roman" w:cs="Times New Roman"/>
          <w:lang w:val="es-MX" w:eastAsia="es-MX"/>
        </w:rPr>
        <w:t>núcleo académico (</w:t>
      </w:r>
      <w:r w:rsidRPr="00692FFD">
        <w:rPr>
          <w:rFonts w:ascii="Times New Roman" w:eastAsia="Times New Roman" w:hAnsi="Times New Roman" w:cs="Times New Roman"/>
          <w:lang w:val="es-MX" w:eastAsia="es-MX"/>
        </w:rPr>
        <w:t>NA</w:t>
      </w:r>
      <w:r w:rsidR="00794E59">
        <w:rPr>
          <w:rFonts w:ascii="Times New Roman" w:eastAsia="Times New Roman" w:hAnsi="Times New Roman" w:cs="Times New Roman"/>
          <w:lang w:val="es-MX" w:eastAsia="es-MX"/>
        </w:rPr>
        <w:t>)</w:t>
      </w:r>
      <w:r w:rsidRPr="00692FFD">
        <w:rPr>
          <w:rFonts w:ascii="Times New Roman" w:eastAsia="Times New Roman" w:hAnsi="Times New Roman" w:cs="Times New Roman"/>
          <w:lang w:val="es-MX" w:eastAsia="es-MX"/>
        </w:rPr>
        <w:t xml:space="preserve"> de la Maestría en Ciencias de la Floricultura son los proyectos de investigación, ya que todos los temas de investigación de las y los estudiantes se encuentran apegados a proyectos de investigación en curso. Los cuales se realizan en el marco de convenios o contratos. </w:t>
      </w:r>
      <w:r w:rsidR="00794E59">
        <w:rPr>
          <w:rFonts w:ascii="Times New Roman" w:eastAsia="Times New Roman" w:hAnsi="Times New Roman" w:cs="Times New Roman"/>
          <w:lang w:val="es-MX" w:eastAsia="es-MX"/>
        </w:rPr>
        <w:t xml:space="preserve">Por ejemplo, hasta el año 2021 </w:t>
      </w:r>
      <w:r w:rsidRPr="00692FFD">
        <w:rPr>
          <w:rFonts w:ascii="Times New Roman" w:eastAsia="Times New Roman" w:hAnsi="Times New Roman" w:cs="Times New Roman"/>
          <w:lang w:val="es-MX" w:eastAsia="es-MX"/>
        </w:rPr>
        <w:t>las y los integrantes del Núcleo académico estuvieron a cargo de 26 proyectos de éstos 10 fueron financiados por fondos públicos y 16 por particulares</w:t>
      </w:r>
      <w:r w:rsidR="00794E59">
        <w:rPr>
          <w:rFonts w:ascii="Times New Roman" w:eastAsia="Times New Roman" w:hAnsi="Times New Roman" w:cs="Times New Roman"/>
          <w:lang w:val="es-MX" w:eastAsia="es-MX"/>
        </w:rPr>
        <w:t>, así como 23 servicios tecnológicos</w:t>
      </w:r>
      <w:r w:rsidRPr="00692FFD">
        <w:rPr>
          <w:rFonts w:ascii="Times New Roman" w:eastAsia="Times New Roman" w:hAnsi="Times New Roman" w:cs="Times New Roman"/>
          <w:lang w:val="es-MX" w:eastAsia="es-MX"/>
        </w:rPr>
        <w:t>.</w:t>
      </w:r>
    </w:p>
    <w:p w14:paraId="52C09936" w14:textId="77777777" w:rsidR="00692FFD" w:rsidRPr="00692FFD" w:rsidRDefault="00692FFD" w:rsidP="00692FFD">
      <w:pPr>
        <w:spacing w:line="276" w:lineRule="auto"/>
        <w:jc w:val="both"/>
        <w:rPr>
          <w:rFonts w:ascii="Times New Roman" w:eastAsia="Times New Roman" w:hAnsi="Times New Roman" w:cs="Times New Roman"/>
          <w:lang w:val="es-MX" w:eastAsia="es-MX"/>
        </w:rPr>
      </w:pPr>
    </w:p>
    <w:p w14:paraId="41C29BBC" w14:textId="19FBFD77" w:rsidR="00692FFD" w:rsidRPr="004C2B58" w:rsidRDefault="00692FFD" w:rsidP="00692FFD">
      <w:pPr>
        <w:spacing w:line="276" w:lineRule="auto"/>
        <w:jc w:val="both"/>
        <w:rPr>
          <w:rFonts w:ascii="Times New Roman" w:eastAsia="Times New Roman" w:hAnsi="Times New Roman" w:cs="Times New Roman"/>
          <w:lang w:val="es-MX" w:eastAsia="es-MX"/>
        </w:rPr>
      </w:pPr>
      <w:r w:rsidRPr="00692FFD">
        <w:rPr>
          <w:rFonts w:ascii="Times New Roman" w:eastAsia="Times New Roman" w:hAnsi="Times New Roman" w:cs="Times New Roman"/>
          <w:lang w:val="es-MX" w:eastAsia="es-MX"/>
        </w:rPr>
        <w:lastRenderedPageBreak/>
        <w:t xml:space="preserve">Es importante señalar que es en el marco de estos proyectos </w:t>
      </w:r>
      <w:r w:rsidR="00794E59">
        <w:rPr>
          <w:rFonts w:ascii="Times New Roman" w:eastAsia="Times New Roman" w:hAnsi="Times New Roman" w:cs="Times New Roman"/>
          <w:lang w:val="es-MX" w:eastAsia="es-MX"/>
        </w:rPr>
        <w:t xml:space="preserve">y servicios tecnológicos </w:t>
      </w:r>
      <w:r w:rsidRPr="00692FFD">
        <w:rPr>
          <w:rFonts w:ascii="Times New Roman" w:eastAsia="Times New Roman" w:hAnsi="Times New Roman" w:cs="Times New Roman"/>
          <w:lang w:val="es-MX" w:eastAsia="es-MX"/>
        </w:rPr>
        <w:t xml:space="preserve">en los que las y los estudiantes de la Maestría en Ciencias de la Floricultura desarrollan sus tesis, pues es requisito el que todos los estudiantes de tiempo completo se incorporen a proyectos en desarrollo. </w:t>
      </w:r>
      <w:r w:rsidR="002C263B" w:rsidRPr="00794E59">
        <w:rPr>
          <w:rFonts w:ascii="Times New Roman" w:eastAsia="Times New Roman" w:hAnsi="Times New Roman" w:cs="Times New Roman"/>
          <w:lang w:val="es-MX" w:eastAsia="es-MX"/>
        </w:rPr>
        <w:t>Para qu</w:t>
      </w:r>
      <w:r w:rsidR="004C2B58" w:rsidRPr="00794E59">
        <w:rPr>
          <w:rFonts w:ascii="Times New Roman" w:eastAsia="Times New Roman" w:hAnsi="Times New Roman" w:cs="Times New Roman"/>
          <w:lang w:val="es-MX" w:eastAsia="es-MX"/>
        </w:rPr>
        <w:t>e</w:t>
      </w:r>
      <w:r w:rsidR="002C263B" w:rsidRPr="00794E59">
        <w:rPr>
          <w:rFonts w:ascii="Times New Roman" w:eastAsia="Times New Roman" w:hAnsi="Times New Roman" w:cs="Times New Roman"/>
          <w:lang w:val="es-MX" w:eastAsia="es-MX"/>
        </w:rPr>
        <w:t xml:space="preserve"> el estudiante puede elegir </w:t>
      </w:r>
      <w:r w:rsidR="004C2B58" w:rsidRPr="00794E59">
        <w:rPr>
          <w:rFonts w:ascii="Times New Roman" w:eastAsia="Times New Roman" w:hAnsi="Times New Roman" w:cs="Times New Roman"/>
          <w:lang w:val="es-MX" w:eastAsia="es-MX"/>
        </w:rPr>
        <w:t xml:space="preserve">el tema de investigación, previamente, </w:t>
      </w:r>
      <w:r w:rsidR="005A6FA6" w:rsidRPr="00794E59">
        <w:rPr>
          <w:rFonts w:ascii="Times New Roman" w:eastAsia="Times New Roman" w:hAnsi="Times New Roman" w:cs="Times New Roman"/>
          <w:lang w:val="es-MX" w:eastAsia="es-MX"/>
        </w:rPr>
        <w:t xml:space="preserve">la coordinación de </w:t>
      </w:r>
      <w:r w:rsidR="00794E59" w:rsidRPr="00794E59">
        <w:rPr>
          <w:rFonts w:ascii="Times New Roman" w:eastAsia="Times New Roman" w:hAnsi="Times New Roman" w:cs="Times New Roman"/>
          <w:lang w:val="es-MX" w:eastAsia="es-MX"/>
        </w:rPr>
        <w:t xml:space="preserve">posgrado genera algún mecanismo donde invita a los investigadores que cumplen el requisito de espacios y proyecto para que expongan </w:t>
      </w:r>
      <w:r w:rsidR="005A6FA6" w:rsidRPr="00794E59">
        <w:rPr>
          <w:rFonts w:ascii="Times New Roman" w:eastAsia="Times New Roman" w:hAnsi="Times New Roman" w:cs="Times New Roman"/>
          <w:lang w:val="es-MX" w:eastAsia="es-MX"/>
        </w:rPr>
        <w:t xml:space="preserve">sus temáticas </w:t>
      </w:r>
      <w:r w:rsidR="00794E59" w:rsidRPr="00794E59">
        <w:rPr>
          <w:rFonts w:ascii="Times New Roman" w:eastAsia="Times New Roman" w:hAnsi="Times New Roman" w:cs="Times New Roman"/>
          <w:lang w:val="es-MX" w:eastAsia="es-MX"/>
        </w:rPr>
        <w:t>a</w:t>
      </w:r>
      <w:r w:rsidR="005A6FA6" w:rsidRPr="00794E59">
        <w:rPr>
          <w:rFonts w:ascii="Times New Roman" w:eastAsia="Times New Roman" w:hAnsi="Times New Roman" w:cs="Times New Roman"/>
          <w:lang w:val="es-MX" w:eastAsia="es-MX"/>
        </w:rPr>
        <w:t xml:space="preserve"> los postulantes </w:t>
      </w:r>
      <w:r w:rsidR="00794E59" w:rsidRPr="00794E59">
        <w:rPr>
          <w:rFonts w:ascii="Times New Roman" w:eastAsia="Times New Roman" w:hAnsi="Times New Roman" w:cs="Times New Roman"/>
          <w:lang w:val="es-MX" w:eastAsia="es-MX"/>
        </w:rPr>
        <w:t xml:space="preserve">con el fin de que </w:t>
      </w:r>
      <w:r w:rsidR="005A6FA6" w:rsidRPr="00794E59">
        <w:rPr>
          <w:rFonts w:ascii="Times New Roman" w:eastAsia="Times New Roman" w:hAnsi="Times New Roman" w:cs="Times New Roman"/>
          <w:lang w:val="es-MX" w:eastAsia="es-MX"/>
        </w:rPr>
        <w:t>pueden elegir el proyecto de investigación más acorde a sus intereses.</w:t>
      </w:r>
    </w:p>
    <w:p w14:paraId="61DD6372" w14:textId="77777777" w:rsidR="00692FFD" w:rsidRPr="00692FFD" w:rsidRDefault="00692FFD" w:rsidP="00692FFD">
      <w:pPr>
        <w:jc w:val="both"/>
        <w:rPr>
          <w:rFonts w:ascii="Times New Roman" w:eastAsia="Times New Roman" w:hAnsi="Times New Roman" w:cs="Times New Roman"/>
          <w:lang w:val="es-MX" w:eastAsia="es-MX"/>
        </w:rPr>
      </w:pPr>
    </w:p>
    <w:p w14:paraId="75A7579C" w14:textId="588968AB" w:rsidR="00692FFD" w:rsidRDefault="00692FFD" w:rsidP="00692FFD">
      <w:pPr>
        <w:spacing w:line="276" w:lineRule="auto"/>
        <w:jc w:val="both"/>
        <w:rPr>
          <w:rFonts w:ascii="Times New Roman" w:eastAsia="Calibri" w:hAnsi="Times New Roman" w:cs="Times New Roman"/>
          <w:lang w:val="es-MX"/>
        </w:rPr>
      </w:pPr>
      <w:r w:rsidRPr="00692FFD">
        <w:rPr>
          <w:rFonts w:ascii="Times New Roman" w:eastAsia="Calibri" w:hAnsi="Times New Roman" w:cs="Times New Roman"/>
          <w:lang w:val="es-MX"/>
        </w:rPr>
        <w:t>Asimismo, los convenios de colaboración también son un mecanismo de colaboración</w:t>
      </w:r>
      <w:r w:rsidR="006B1088">
        <w:rPr>
          <w:rFonts w:ascii="Times New Roman" w:eastAsia="Calibri" w:hAnsi="Times New Roman" w:cs="Times New Roman"/>
          <w:lang w:val="es-MX"/>
        </w:rPr>
        <w:t xml:space="preserve"> entre egresados e integrantes del NA</w:t>
      </w:r>
      <w:r w:rsidRPr="00692FFD">
        <w:rPr>
          <w:rFonts w:ascii="Times New Roman" w:eastAsia="Calibri" w:hAnsi="Times New Roman" w:cs="Times New Roman"/>
          <w:lang w:val="es-MX"/>
        </w:rPr>
        <w:t xml:space="preserve">, en ocasiones derivado de la operatividad del proyecto y otras tanto derivados de convenios institucionales que favorezcan el quehacer institucional. En </w:t>
      </w:r>
      <w:r w:rsidR="006B1088">
        <w:rPr>
          <w:rFonts w:ascii="Times New Roman" w:eastAsia="Calibri" w:hAnsi="Times New Roman" w:cs="Times New Roman"/>
          <w:lang w:val="es-MX"/>
        </w:rPr>
        <w:t xml:space="preserve">mismo periodo comentado anteriormente se </w:t>
      </w:r>
      <w:r w:rsidRPr="00692FFD">
        <w:rPr>
          <w:rFonts w:ascii="Times New Roman" w:eastAsia="Calibri" w:hAnsi="Times New Roman" w:cs="Times New Roman"/>
          <w:lang w:val="es-MX"/>
        </w:rPr>
        <w:t>t</w:t>
      </w:r>
      <w:r w:rsidR="006B1088">
        <w:rPr>
          <w:rFonts w:ascii="Times New Roman" w:eastAsia="Calibri" w:hAnsi="Times New Roman" w:cs="Times New Roman"/>
          <w:lang w:val="es-MX"/>
        </w:rPr>
        <w:t xml:space="preserve">uvieron </w:t>
      </w:r>
      <w:r w:rsidRPr="00692FFD">
        <w:rPr>
          <w:rFonts w:ascii="Times New Roman" w:eastAsia="Calibri" w:hAnsi="Times New Roman" w:cs="Times New Roman"/>
          <w:lang w:val="es-MX"/>
        </w:rPr>
        <w:t>11 convenios asociados directamente a integrantes del Núcleo Académico, lo cual nos habla de la participación activa en proyectos.</w:t>
      </w:r>
    </w:p>
    <w:p w14:paraId="5A2E4BFE" w14:textId="77777777" w:rsidR="00692FFD" w:rsidRPr="00692FFD" w:rsidRDefault="00692FFD" w:rsidP="00692FFD">
      <w:pPr>
        <w:spacing w:line="276" w:lineRule="auto"/>
        <w:jc w:val="both"/>
        <w:rPr>
          <w:rFonts w:ascii="Times New Roman" w:eastAsia="Calibri" w:hAnsi="Times New Roman" w:cs="Times New Roman"/>
          <w:lang w:val="es-MX"/>
        </w:rPr>
      </w:pPr>
    </w:p>
    <w:p w14:paraId="26AB206B" w14:textId="77777777" w:rsidR="00692FFD" w:rsidRPr="00692FFD" w:rsidRDefault="00692FFD" w:rsidP="00692FFD">
      <w:pPr>
        <w:spacing w:after="200" w:line="276" w:lineRule="auto"/>
        <w:jc w:val="both"/>
        <w:rPr>
          <w:rFonts w:ascii="Times New Roman" w:eastAsia="Calibri" w:hAnsi="Times New Roman" w:cs="Times New Roman"/>
          <w:lang w:val="es-MX"/>
        </w:rPr>
      </w:pPr>
      <w:r w:rsidRPr="00692FFD">
        <w:rPr>
          <w:rFonts w:ascii="Times New Roman" w:eastAsia="Calibri" w:hAnsi="Times New Roman" w:cs="Times New Roman"/>
          <w:lang w:val="es-MX"/>
        </w:rPr>
        <w:t>Debido a la dinámica de trabajo del centro, por proyectos de investigación con financiamiento público y privado, la cooperación con múltiples sectores de la sociedad es indisoluble. Esto permea en todas las dinámicas institucionales, incluido el posgrado donde los temas de investigación de las y los estudiantes están ligados a proyectos de investigación en curso. Entre estos tipos de trabajo con los distintos sectores de la sociedad podemos encontrar los siguientes ejemplos:</w:t>
      </w:r>
    </w:p>
    <w:p w14:paraId="0E077D78" w14:textId="77777777" w:rsidR="00692FFD" w:rsidRPr="00692FFD" w:rsidRDefault="00692FFD" w:rsidP="00692FFD">
      <w:pPr>
        <w:numPr>
          <w:ilvl w:val="0"/>
          <w:numId w:val="9"/>
        </w:numPr>
        <w:spacing w:after="200" w:line="276" w:lineRule="auto"/>
        <w:contextualSpacing/>
        <w:jc w:val="both"/>
        <w:rPr>
          <w:rFonts w:ascii="Times New Roman" w:eastAsia="Calibri" w:hAnsi="Times New Roman" w:cs="Times New Roman"/>
          <w:lang w:val="es-MX"/>
        </w:rPr>
      </w:pPr>
      <w:r w:rsidRPr="00692FFD">
        <w:rPr>
          <w:rFonts w:ascii="Times New Roman" w:eastAsia="Calibri" w:hAnsi="Times New Roman" w:cs="Times New Roman"/>
          <w:lang w:val="es-MX"/>
        </w:rPr>
        <w:t>Sector educativo. Estableciendo vínculos de colaboración con Instituciones de Educación Superior y Centros de Investigación públicos y privados nacionales e internacionales. De los cuales se derivan convenios de colaboración, visitas de y hacia Instituciones educativas. La vinculación con este sector pertenece a la naturaleza más académica de un programa educativo como es el Maestría en Ciencias de la Floricultura.</w:t>
      </w:r>
    </w:p>
    <w:p w14:paraId="51C3976D" w14:textId="552E821C" w:rsidR="00692FFD" w:rsidRPr="00692FFD" w:rsidRDefault="00692FFD" w:rsidP="00692FFD">
      <w:pPr>
        <w:numPr>
          <w:ilvl w:val="0"/>
          <w:numId w:val="9"/>
        </w:numPr>
        <w:spacing w:after="200" w:line="276" w:lineRule="auto"/>
        <w:contextualSpacing/>
        <w:jc w:val="both"/>
        <w:rPr>
          <w:rFonts w:ascii="Times New Roman" w:eastAsia="Calibri" w:hAnsi="Times New Roman" w:cs="Times New Roman"/>
          <w:lang w:val="es-MX"/>
        </w:rPr>
      </w:pPr>
      <w:r w:rsidRPr="00692FFD">
        <w:rPr>
          <w:rFonts w:ascii="Times New Roman" w:eastAsia="Calibri" w:hAnsi="Times New Roman" w:cs="Times New Roman"/>
          <w:lang w:val="es-MX"/>
        </w:rPr>
        <w:t>Sector gubernamental. - Dado que el CIATEJ es un centro público de investigación dependiente de</w:t>
      </w:r>
      <w:r w:rsidR="006B1088">
        <w:rPr>
          <w:rFonts w:ascii="Times New Roman" w:eastAsia="Calibri" w:hAnsi="Times New Roman" w:cs="Times New Roman"/>
          <w:lang w:val="es-MX"/>
        </w:rPr>
        <w:t xml:space="preserve"> la SECIHTI </w:t>
      </w:r>
      <w:r w:rsidRPr="00692FFD">
        <w:rPr>
          <w:rFonts w:ascii="Times New Roman" w:eastAsia="Calibri" w:hAnsi="Times New Roman" w:cs="Times New Roman"/>
          <w:lang w:val="es-MX"/>
        </w:rPr>
        <w:t>es preciso la gestión de recursos y espacios, para esto los integrantes del Núcleo Académico participan en consultas, visitas, concursos y eventos gubernamentales para dar visibilidad a las acciones realizadas en el centro y en el posgrado, lo cual fortalece nuestro quehacer institucional.</w:t>
      </w:r>
    </w:p>
    <w:p w14:paraId="0BD25B75" w14:textId="7E79644B" w:rsidR="00692FFD" w:rsidRPr="00692FFD" w:rsidRDefault="00692FFD" w:rsidP="00692FFD">
      <w:pPr>
        <w:numPr>
          <w:ilvl w:val="0"/>
          <w:numId w:val="9"/>
        </w:numPr>
        <w:spacing w:after="200" w:line="276" w:lineRule="auto"/>
        <w:contextualSpacing/>
        <w:jc w:val="both"/>
        <w:rPr>
          <w:rFonts w:ascii="Times New Roman" w:eastAsia="Calibri" w:hAnsi="Times New Roman" w:cs="Times New Roman"/>
          <w:lang w:val="es-MX"/>
        </w:rPr>
      </w:pPr>
      <w:r w:rsidRPr="00692FFD">
        <w:rPr>
          <w:rFonts w:ascii="Times New Roman" w:eastAsia="Calibri" w:hAnsi="Times New Roman" w:cs="Times New Roman"/>
          <w:lang w:val="es-MX"/>
        </w:rPr>
        <w:t xml:space="preserve">Sector social. - Los proyectos desarrollados, sobre todo los de fondos, como atención a problemas nacional o Fondos </w:t>
      </w:r>
      <w:r w:rsidR="006B1088">
        <w:rPr>
          <w:rFonts w:ascii="Times New Roman" w:eastAsia="Calibri" w:hAnsi="Times New Roman" w:cs="Times New Roman"/>
          <w:lang w:val="es-MX"/>
        </w:rPr>
        <w:t>públicos federales o estales</w:t>
      </w:r>
      <w:r w:rsidRPr="00692FFD">
        <w:rPr>
          <w:rFonts w:ascii="Times New Roman" w:eastAsia="Calibri" w:hAnsi="Times New Roman" w:cs="Times New Roman"/>
          <w:lang w:val="es-MX"/>
        </w:rPr>
        <w:t xml:space="preserve">, tienen una estrecha relación con el bienestar de la sociedad, pues responden a una demanda específica a resolver. Mediante el desarrollo de este tipo de proyectos las y los integrantes del </w:t>
      </w:r>
      <w:r w:rsidRPr="00692FFD">
        <w:rPr>
          <w:rFonts w:ascii="Times New Roman" w:eastAsia="Calibri" w:hAnsi="Times New Roman" w:cs="Times New Roman"/>
          <w:lang w:val="es-MX"/>
        </w:rPr>
        <w:lastRenderedPageBreak/>
        <w:t>Núcleo Académico contribuyen mejorar la calidad de vida de las comunidades en todo el país.</w:t>
      </w:r>
    </w:p>
    <w:p w14:paraId="6DA42134" w14:textId="39DFC5AF" w:rsidR="00692FFD" w:rsidRPr="00692FFD" w:rsidRDefault="00692FFD" w:rsidP="00692FFD">
      <w:pPr>
        <w:numPr>
          <w:ilvl w:val="0"/>
          <w:numId w:val="9"/>
        </w:numPr>
        <w:spacing w:after="200" w:line="276" w:lineRule="auto"/>
        <w:contextualSpacing/>
        <w:jc w:val="both"/>
        <w:rPr>
          <w:rFonts w:ascii="Times New Roman" w:eastAsia="Calibri" w:hAnsi="Times New Roman" w:cs="Times New Roman"/>
          <w:lang w:val="es-MX"/>
        </w:rPr>
      </w:pPr>
      <w:r w:rsidRPr="00692FFD">
        <w:rPr>
          <w:rFonts w:ascii="Times New Roman" w:eastAsia="Calibri" w:hAnsi="Times New Roman" w:cs="Times New Roman"/>
          <w:lang w:val="es-MX"/>
        </w:rPr>
        <w:t xml:space="preserve">Sector empresarial. - Debido a que CIATEJ desarrolla proyectos con empresas, contribuye a fortalecer sus competitividad y habilidades técnicas, contribuyendo indirectamente a la generación de riquezas. Proyectos como los </w:t>
      </w:r>
      <w:r w:rsidR="00343BC1" w:rsidRPr="00343BC1">
        <w:rPr>
          <w:rFonts w:ascii="Times New Roman" w:eastAsia="Calibri" w:hAnsi="Times New Roman" w:cs="Times New Roman"/>
          <w:lang w:val="es-MX"/>
        </w:rPr>
        <w:t>Estímulo</w:t>
      </w:r>
      <w:r w:rsidR="00343BC1">
        <w:rPr>
          <w:rFonts w:ascii="Times New Roman" w:eastAsia="Calibri" w:hAnsi="Times New Roman" w:cs="Times New Roman"/>
          <w:lang w:val="es-MX"/>
        </w:rPr>
        <w:t>s</w:t>
      </w:r>
      <w:r w:rsidR="00343BC1" w:rsidRPr="00343BC1">
        <w:rPr>
          <w:rFonts w:ascii="Times New Roman" w:eastAsia="Calibri" w:hAnsi="Times New Roman" w:cs="Times New Roman"/>
          <w:lang w:val="es-MX"/>
        </w:rPr>
        <w:t xml:space="preserve"> Fiscal</w:t>
      </w:r>
      <w:r w:rsidR="00343BC1">
        <w:rPr>
          <w:rFonts w:ascii="Times New Roman" w:eastAsia="Calibri" w:hAnsi="Times New Roman" w:cs="Times New Roman"/>
          <w:lang w:val="es-MX"/>
        </w:rPr>
        <w:t>es</w:t>
      </w:r>
      <w:r w:rsidR="00343BC1" w:rsidRPr="00343BC1">
        <w:rPr>
          <w:rFonts w:ascii="Times New Roman" w:eastAsia="Calibri" w:hAnsi="Times New Roman" w:cs="Times New Roman"/>
          <w:lang w:val="es-MX"/>
        </w:rPr>
        <w:t xml:space="preserve"> a la Investigación y Desarrollo de Tecnología</w:t>
      </w:r>
      <w:r w:rsidRPr="00692FFD">
        <w:rPr>
          <w:rFonts w:ascii="Times New Roman" w:eastAsia="Calibri" w:hAnsi="Times New Roman" w:cs="Times New Roman"/>
          <w:lang w:val="es-MX"/>
        </w:rPr>
        <w:t>.</w:t>
      </w:r>
    </w:p>
    <w:p w14:paraId="68ECB32F" w14:textId="77777777" w:rsidR="00692FFD" w:rsidRPr="00692FFD" w:rsidRDefault="00692FFD" w:rsidP="00692FFD">
      <w:pPr>
        <w:numPr>
          <w:ilvl w:val="0"/>
          <w:numId w:val="9"/>
        </w:numPr>
        <w:spacing w:after="200" w:line="276" w:lineRule="auto"/>
        <w:contextualSpacing/>
        <w:jc w:val="both"/>
        <w:rPr>
          <w:rFonts w:ascii="Times New Roman" w:eastAsia="Calibri" w:hAnsi="Times New Roman" w:cs="Times New Roman"/>
          <w:lang w:val="es-MX"/>
        </w:rPr>
      </w:pPr>
      <w:r w:rsidRPr="00692FFD">
        <w:rPr>
          <w:rFonts w:ascii="Times New Roman" w:eastAsia="Calibri" w:hAnsi="Times New Roman" w:cs="Times New Roman"/>
          <w:lang w:val="es-MX"/>
        </w:rPr>
        <w:t xml:space="preserve">Sociedad en general. - A través de la divulgación de los resultados de investigación por los medios de comunicación, la sociedad en general puede conocer los temas desarrollando, promoviendo la cultura científica. </w:t>
      </w:r>
    </w:p>
    <w:p w14:paraId="5BA30E01" w14:textId="7EB72EF6" w:rsidR="00692FFD" w:rsidRDefault="00692FFD" w:rsidP="00692FFD">
      <w:pPr>
        <w:spacing w:after="200" w:line="276" w:lineRule="auto"/>
        <w:jc w:val="both"/>
        <w:rPr>
          <w:rFonts w:ascii="Times New Roman" w:eastAsia="Calibri" w:hAnsi="Times New Roman" w:cs="Times New Roman"/>
          <w:lang w:val="es-MX"/>
        </w:rPr>
      </w:pPr>
      <w:r w:rsidRPr="00692FFD">
        <w:rPr>
          <w:rFonts w:ascii="Times New Roman" w:eastAsia="Calibri" w:hAnsi="Times New Roman" w:cs="Times New Roman"/>
          <w:lang w:val="es-MX"/>
        </w:rPr>
        <w:t>Como parte de lo anterior, los integrantes del Núcleo Académico de la Maestría en Ciencias de la Floricultura, además de desarrollar proyectos de investigación colaboran en Redes de Investigación, son editores y revisores de Revistas científicas, son miembros de Sociedades y Asociaciones científicas y participan activamente en la generación de políticas para conducir la investigación en la materia que le compete al posgrado</w:t>
      </w:r>
      <w:r>
        <w:rPr>
          <w:rFonts w:ascii="Times New Roman" w:eastAsia="Calibri" w:hAnsi="Times New Roman" w:cs="Times New Roman"/>
          <w:lang w:val="es-MX"/>
        </w:rPr>
        <w:t>.</w:t>
      </w:r>
    </w:p>
    <w:p w14:paraId="54918243" w14:textId="220CD0B7" w:rsidR="00343BC1" w:rsidRDefault="00343BC1" w:rsidP="00692FFD">
      <w:pPr>
        <w:spacing w:after="200" w:line="276" w:lineRule="auto"/>
        <w:jc w:val="both"/>
        <w:rPr>
          <w:rFonts w:ascii="Times New Roman" w:eastAsia="Calibri" w:hAnsi="Times New Roman" w:cs="Times New Roman"/>
          <w:lang w:val="es-MX"/>
        </w:rPr>
      </w:pPr>
      <w:r>
        <w:rPr>
          <w:rFonts w:ascii="Times New Roman" w:eastAsia="Calibri" w:hAnsi="Times New Roman" w:cs="Times New Roman"/>
          <w:lang w:val="es-MX"/>
        </w:rPr>
        <w:t>Todas estas actividades desarrolladas por los integrantes del NA fortalecen distintas estrategias para apoyar a la inserción de los egresados del programa de Floricultura en el sector laboral.</w:t>
      </w:r>
    </w:p>
    <w:p w14:paraId="51AF1CE8" w14:textId="77777777" w:rsidR="00692FFD" w:rsidRDefault="00692FFD" w:rsidP="00692FFD">
      <w:pPr>
        <w:spacing w:after="200" w:line="276" w:lineRule="auto"/>
        <w:jc w:val="both"/>
        <w:rPr>
          <w:rFonts w:ascii="Times New Roman" w:eastAsia="Calibri" w:hAnsi="Times New Roman" w:cs="Times New Roman"/>
          <w:lang w:val="es-MX"/>
        </w:rPr>
      </w:pPr>
    </w:p>
    <w:sectPr w:rsidR="00692FFD" w:rsidSect="00A73D65">
      <w:headerReference w:type="even" r:id="rId7"/>
      <w:headerReference w:type="default" r:id="rId8"/>
      <w:footerReference w:type="even" r:id="rId9"/>
      <w:footerReference w:type="default" r:id="rId10"/>
      <w:pgSz w:w="12240" w:h="15840"/>
      <w:pgMar w:top="23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B792C" w14:textId="77777777" w:rsidR="004945BE" w:rsidRDefault="004945BE" w:rsidP="00A73D65">
      <w:r>
        <w:separator/>
      </w:r>
    </w:p>
  </w:endnote>
  <w:endnote w:type="continuationSeparator" w:id="0">
    <w:p w14:paraId="3E71D338" w14:textId="77777777" w:rsidR="004945BE" w:rsidRDefault="004945BE"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Noto Sans">
    <w:altName w:val="Noto Sans"/>
    <w:charset w:val="00"/>
    <w:family w:val="swiss"/>
    <w:pitch w:val="variable"/>
    <w:sig w:usb0="E00082FF" w:usb1="400078FF" w:usb2="00000021" w:usb3="00000000" w:csb0="0000019F" w:csb1="00000000"/>
  </w:font>
  <w:font w:name="Noto Sans Medium">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8361" w14:textId="5688B21B" w:rsidR="00FD1854" w:rsidRDefault="00BF379D">
    <w:pPr>
      <w:pStyle w:val="Piedepgina"/>
    </w:pPr>
    <w:r>
      <w:rPr>
        <w:noProof/>
      </w:rPr>
      <mc:AlternateContent>
        <mc:Choice Requires="wps">
          <w:drawing>
            <wp:anchor distT="0" distB="0" distL="114300" distR="114300" simplePos="0" relativeHeight="251667456" behindDoc="0" locked="0" layoutInCell="1" allowOverlap="1" wp14:anchorId="66609D6A" wp14:editId="0A4B6DE7">
              <wp:simplePos x="0" y="0"/>
              <wp:positionH relativeFrom="column">
                <wp:posOffset>1248286</wp:posOffset>
              </wp:positionH>
              <wp:positionV relativeFrom="paragraph">
                <wp:posOffset>-472014</wp:posOffset>
              </wp:positionV>
              <wp:extent cx="5005633" cy="216602"/>
              <wp:effectExtent l="0" t="0" r="0" b="0"/>
              <wp:wrapNone/>
              <wp:docPr id="727452448" name="Cuadro de texto 3"/>
              <wp:cNvGraphicFramePr/>
              <a:graphic xmlns:a="http://schemas.openxmlformats.org/drawingml/2006/main">
                <a:graphicData uri="http://schemas.microsoft.com/office/word/2010/wordprocessingShape">
                  <wps:wsp>
                    <wps:cNvSpPr txBox="1"/>
                    <wps:spPr>
                      <a:xfrm>
                        <a:off x="0" y="0"/>
                        <a:ext cx="5005633" cy="216602"/>
                      </a:xfrm>
                      <a:prstGeom prst="rect">
                        <a:avLst/>
                      </a:prstGeom>
                      <a:noFill/>
                      <a:ln w="6350">
                        <a:noFill/>
                      </a:ln>
                    </wps:spPr>
                    <wps:txb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09D6A" id="_x0000_t202" coordsize="21600,21600" o:spt="202" path="m,l,21600r21600,l21600,xe">
              <v:stroke joinstyle="miter"/>
              <v:path gradientshapeok="t" o:connecttype="rect"/>
            </v:shapetype>
            <v:shape id="Cuadro de texto 3" o:spid="_x0000_s1026" type="#_x0000_t202" style="position:absolute;margin-left:98.3pt;margin-top:-37.15pt;width:394.15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" filled="f" stroked="f" strokeweight=".5pt">
              <v:textbo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9B46" w14:textId="096BA830" w:rsidR="00904CC6" w:rsidRDefault="00B67AB0">
    <w:pPr>
      <w:pStyle w:val="Piedepgina"/>
    </w:pPr>
    <w:r>
      <w:rPr>
        <w:noProof/>
      </w:rPr>
      <mc:AlternateContent>
        <mc:Choice Requires="wps">
          <w:drawing>
            <wp:anchor distT="0" distB="0" distL="114300" distR="114300" simplePos="0" relativeHeight="251660288" behindDoc="0" locked="0" layoutInCell="1" allowOverlap="1" wp14:anchorId="021FF935" wp14:editId="2265386C">
              <wp:simplePos x="0" y="0"/>
              <wp:positionH relativeFrom="column">
                <wp:posOffset>1162622</wp:posOffset>
              </wp:positionH>
              <wp:positionV relativeFrom="paragraph">
                <wp:posOffset>-432435</wp:posOffset>
              </wp:positionV>
              <wp:extent cx="5467020" cy="216602"/>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467020" cy="216602"/>
                      </a:xfrm>
                      <a:prstGeom prst="rect">
                        <a:avLst/>
                      </a:prstGeom>
                      <a:noFill/>
                      <a:ln w="6350">
                        <a:noFill/>
                      </a:ln>
                    </wps:spPr>
                    <wps:txb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FF935" id="_x0000_t202" coordsize="21600,21600" o:spt="202" path="m,l,21600r21600,l21600,xe">
              <v:stroke joinstyle="miter"/>
              <v:path gradientshapeok="t" o:connecttype="rect"/>
            </v:shapetype>
            <v:shape id="_x0000_s1027" type="#_x0000_t202" style="position:absolute;margin-left:91.55pt;margin-top:-34.05pt;width:430.45pt;height:1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" filled="f" stroked="f" strokeweight=".5pt">
              <v:textbo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8F6A3" w14:textId="77777777" w:rsidR="004945BE" w:rsidRDefault="004945BE" w:rsidP="00A73D65">
      <w:r>
        <w:separator/>
      </w:r>
    </w:p>
  </w:footnote>
  <w:footnote w:type="continuationSeparator" w:id="0">
    <w:p w14:paraId="0E6D649D" w14:textId="77777777" w:rsidR="004945BE" w:rsidRDefault="004945BE"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0B2E" w14:textId="1C968C15" w:rsidR="003F49A8" w:rsidRDefault="003F49A8">
    <w:pPr>
      <w:pStyle w:val="Encabezado"/>
    </w:pPr>
    <w:r>
      <w:rPr>
        <w:noProof/>
      </w:rPr>
      <w:drawing>
        <wp:anchor distT="0" distB="0" distL="114300" distR="114300" simplePos="0" relativeHeight="251662336" behindDoc="0" locked="0" layoutInCell="1" allowOverlap="1" wp14:anchorId="60E47F35" wp14:editId="592103A5">
          <wp:simplePos x="0" y="0"/>
          <wp:positionH relativeFrom="column">
            <wp:posOffset>-1062882</wp:posOffset>
          </wp:positionH>
          <wp:positionV relativeFrom="paragraph">
            <wp:posOffset>-449580</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E181" w14:textId="5F525454" w:rsidR="00A73D65" w:rsidRPr="00B67AB0" w:rsidRDefault="00B67AB0" w:rsidP="00B67AB0">
    <w:pPr>
      <w:pStyle w:val="Encabezado"/>
    </w:pPr>
    <w:r>
      <w:rPr>
        <w:noProof/>
      </w:rPr>
      <w:drawing>
        <wp:anchor distT="0" distB="0" distL="114300" distR="114300" simplePos="0" relativeHeight="251665408" behindDoc="1" locked="0" layoutInCell="1" allowOverlap="1" wp14:anchorId="747A1638" wp14:editId="2FA02340">
          <wp:simplePos x="0" y="0"/>
          <wp:positionH relativeFrom="column">
            <wp:posOffset>-1101075</wp:posOffset>
          </wp:positionH>
          <wp:positionV relativeFrom="paragraph">
            <wp:posOffset>-470520</wp:posOffset>
          </wp:positionV>
          <wp:extent cx="7800030" cy="10094156"/>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0" cy="100941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27279D"/>
    <w:multiLevelType w:val="hybridMultilevel"/>
    <w:tmpl w:val="A2B04D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4E37CE"/>
    <w:multiLevelType w:val="hybridMultilevel"/>
    <w:tmpl w:val="221012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B4CC654"/>
    <w:multiLevelType w:val="hybridMultilevel"/>
    <w:tmpl w:val="3F53E8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164B8F0"/>
    <w:multiLevelType w:val="hybridMultilevel"/>
    <w:tmpl w:val="972E7A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A0A4875"/>
    <w:multiLevelType w:val="hybridMultilevel"/>
    <w:tmpl w:val="85FA5A38"/>
    <w:lvl w:ilvl="0" w:tplc="6884F56C">
      <w:start w:val="1"/>
      <w:numFmt w:val="decimal"/>
      <w:lvlText w:val="%1."/>
      <w:lvlJc w:val="left"/>
      <w:pPr>
        <w:ind w:left="720" w:hanging="360"/>
      </w:pPr>
      <w:rPr>
        <w:rFonts w:ascii="Times New Roman" w:eastAsiaTheme="minorHAnsi" w:hAnsi="Times New Roman"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B76552D"/>
    <w:multiLevelType w:val="hybridMultilevel"/>
    <w:tmpl w:val="E88009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F6B387B"/>
    <w:multiLevelType w:val="hybridMultilevel"/>
    <w:tmpl w:val="35742A2A"/>
    <w:lvl w:ilvl="0" w:tplc="080A000F">
      <w:start w:val="1"/>
      <w:numFmt w:val="decimal"/>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04F5EE2"/>
    <w:multiLevelType w:val="hybridMultilevel"/>
    <w:tmpl w:val="3BF493AE"/>
    <w:lvl w:ilvl="0" w:tplc="AD425A58">
      <w:start w:val="1"/>
      <w:numFmt w:val="decimal"/>
      <w:lvlText w:val="%1."/>
      <w:lvlJc w:val="left"/>
      <w:pPr>
        <w:ind w:left="1347" w:hanging="780"/>
      </w:pPr>
      <w:rPr>
        <w:rFonts w:hint="default"/>
      </w:rPr>
    </w:lvl>
    <w:lvl w:ilvl="1" w:tplc="080A0019" w:tentative="1">
      <w:start w:val="1"/>
      <w:numFmt w:val="lowerLetter"/>
      <w:lvlText w:val="%2."/>
      <w:lvlJc w:val="left"/>
      <w:pPr>
        <w:ind w:left="1867" w:hanging="360"/>
      </w:pPr>
    </w:lvl>
    <w:lvl w:ilvl="2" w:tplc="080A001B" w:tentative="1">
      <w:start w:val="1"/>
      <w:numFmt w:val="lowerRoman"/>
      <w:lvlText w:val="%3."/>
      <w:lvlJc w:val="right"/>
      <w:pPr>
        <w:ind w:left="2587" w:hanging="180"/>
      </w:pPr>
    </w:lvl>
    <w:lvl w:ilvl="3" w:tplc="080A000F" w:tentative="1">
      <w:start w:val="1"/>
      <w:numFmt w:val="decimal"/>
      <w:lvlText w:val="%4."/>
      <w:lvlJc w:val="left"/>
      <w:pPr>
        <w:ind w:left="3307" w:hanging="360"/>
      </w:pPr>
    </w:lvl>
    <w:lvl w:ilvl="4" w:tplc="080A0019" w:tentative="1">
      <w:start w:val="1"/>
      <w:numFmt w:val="lowerLetter"/>
      <w:lvlText w:val="%5."/>
      <w:lvlJc w:val="left"/>
      <w:pPr>
        <w:ind w:left="4027" w:hanging="360"/>
      </w:pPr>
    </w:lvl>
    <w:lvl w:ilvl="5" w:tplc="080A001B" w:tentative="1">
      <w:start w:val="1"/>
      <w:numFmt w:val="lowerRoman"/>
      <w:lvlText w:val="%6."/>
      <w:lvlJc w:val="right"/>
      <w:pPr>
        <w:ind w:left="4747" w:hanging="180"/>
      </w:pPr>
    </w:lvl>
    <w:lvl w:ilvl="6" w:tplc="080A000F" w:tentative="1">
      <w:start w:val="1"/>
      <w:numFmt w:val="decimal"/>
      <w:lvlText w:val="%7."/>
      <w:lvlJc w:val="left"/>
      <w:pPr>
        <w:ind w:left="5467" w:hanging="360"/>
      </w:pPr>
    </w:lvl>
    <w:lvl w:ilvl="7" w:tplc="080A0019" w:tentative="1">
      <w:start w:val="1"/>
      <w:numFmt w:val="lowerLetter"/>
      <w:lvlText w:val="%8."/>
      <w:lvlJc w:val="left"/>
      <w:pPr>
        <w:ind w:left="6187" w:hanging="360"/>
      </w:pPr>
    </w:lvl>
    <w:lvl w:ilvl="8" w:tplc="080A001B" w:tentative="1">
      <w:start w:val="1"/>
      <w:numFmt w:val="lowerRoman"/>
      <w:lvlText w:val="%9."/>
      <w:lvlJc w:val="right"/>
      <w:pPr>
        <w:ind w:left="6907" w:hanging="180"/>
      </w:pPr>
    </w:lvl>
  </w:abstractNum>
  <w:abstractNum w:abstractNumId="8" w15:restartNumberingAfterBreak="0">
    <w:nsid w:val="799102EF"/>
    <w:multiLevelType w:val="hybridMultilevel"/>
    <w:tmpl w:val="892ABA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1"/>
  </w:num>
  <w:num w:numId="4">
    <w:abstractNumId w:val="8"/>
  </w:num>
  <w:num w:numId="5">
    <w:abstractNumId w:val="3"/>
  </w:num>
  <w:num w:numId="6">
    <w:abstractNumId w:val="0"/>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042C5"/>
    <w:rsid w:val="00022CB2"/>
    <w:rsid w:val="00023AA0"/>
    <w:rsid w:val="00060F0A"/>
    <w:rsid w:val="000A3173"/>
    <w:rsid w:val="000B0C86"/>
    <w:rsid w:val="00156A3E"/>
    <w:rsid w:val="00161740"/>
    <w:rsid w:val="00180A38"/>
    <w:rsid w:val="00184325"/>
    <w:rsid w:val="001D77F1"/>
    <w:rsid w:val="00245F66"/>
    <w:rsid w:val="00256B1D"/>
    <w:rsid w:val="002871E1"/>
    <w:rsid w:val="00287588"/>
    <w:rsid w:val="0029542D"/>
    <w:rsid w:val="002C263B"/>
    <w:rsid w:val="002C293A"/>
    <w:rsid w:val="002D60F5"/>
    <w:rsid w:val="002E2142"/>
    <w:rsid w:val="002E2B5E"/>
    <w:rsid w:val="0030476A"/>
    <w:rsid w:val="00305182"/>
    <w:rsid w:val="003350CA"/>
    <w:rsid w:val="00343BC1"/>
    <w:rsid w:val="003542BA"/>
    <w:rsid w:val="00363222"/>
    <w:rsid w:val="00370465"/>
    <w:rsid w:val="003D416E"/>
    <w:rsid w:val="003E1335"/>
    <w:rsid w:val="003F49A8"/>
    <w:rsid w:val="004027DE"/>
    <w:rsid w:val="00421F4B"/>
    <w:rsid w:val="004543B0"/>
    <w:rsid w:val="00454479"/>
    <w:rsid w:val="00477F45"/>
    <w:rsid w:val="004945BE"/>
    <w:rsid w:val="004A4C4E"/>
    <w:rsid w:val="004B07B0"/>
    <w:rsid w:val="004C2B58"/>
    <w:rsid w:val="004D146C"/>
    <w:rsid w:val="004E5574"/>
    <w:rsid w:val="00582E02"/>
    <w:rsid w:val="005A1743"/>
    <w:rsid w:val="005A6FA6"/>
    <w:rsid w:val="005C1A7C"/>
    <w:rsid w:val="005D14D4"/>
    <w:rsid w:val="005F3347"/>
    <w:rsid w:val="00626EE3"/>
    <w:rsid w:val="00631824"/>
    <w:rsid w:val="006322C1"/>
    <w:rsid w:val="0066676F"/>
    <w:rsid w:val="0067208B"/>
    <w:rsid w:val="00680716"/>
    <w:rsid w:val="00681882"/>
    <w:rsid w:val="00692FFD"/>
    <w:rsid w:val="006A0DFE"/>
    <w:rsid w:val="006B1088"/>
    <w:rsid w:val="006C0425"/>
    <w:rsid w:val="006C3B4E"/>
    <w:rsid w:val="00714C0D"/>
    <w:rsid w:val="00733712"/>
    <w:rsid w:val="007421E3"/>
    <w:rsid w:val="00762CB9"/>
    <w:rsid w:val="007738F7"/>
    <w:rsid w:val="0078195E"/>
    <w:rsid w:val="00794E59"/>
    <w:rsid w:val="007B09D7"/>
    <w:rsid w:val="007B74AD"/>
    <w:rsid w:val="007D77D1"/>
    <w:rsid w:val="007E184A"/>
    <w:rsid w:val="007E5888"/>
    <w:rsid w:val="00800E9F"/>
    <w:rsid w:val="00820DEB"/>
    <w:rsid w:val="00831EE7"/>
    <w:rsid w:val="00834146"/>
    <w:rsid w:val="00847993"/>
    <w:rsid w:val="00904CC6"/>
    <w:rsid w:val="009066A7"/>
    <w:rsid w:val="00906743"/>
    <w:rsid w:val="00907F1C"/>
    <w:rsid w:val="00932C27"/>
    <w:rsid w:val="00935609"/>
    <w:rsid w:val="00937456"/>
    <w:rsid w:val="00937C98"/>
    <w:rsid w:val="00942415"/>
    <w:rsid w:val="00973FB2"/>
    <w:rsid w:val="00975F8C"/>
    <w:rsid w:val="00976253"/>
    <w:rsid w:val="00991DCF"/>
    <w:rsid w:val="009C12D6"/>
    <w:rsid w:val="009F2BA1"/>
    <w:rsid w:val="00A0555C"/>
    <w:rsid w:val="00A07674"/>
    <w:rsid w:val="00A2021A"/>
    <w:rsid w:val="00A206E8"/>
    <w:rsid w:val="00A301D7"/>
    <w:rsid w:val="00A314BF"/>
    <w:rsid w:val="00A363E2"/>
    <w:rsid w:val="00A5108A"/>
    <w:rsid w:val="00A5277D"/>
    <w:rsid w:val="00A57FF1"/>
    <w:rsid w:val="00A73D65"/>
    <w:rsid w:val="00A9662E"/>
    <w:rsid w:val="00AA79C5"/>
    <w:rsid w:val="00AB125D"/>
    <w:rsid w:val="00B21938"/>
    <w:rsid w:val="00B541BC"/>
    <w:rsid w:val="00B67AB0"/>
    <w:rsid w:val="00B72D65"/>
    <w:rsid w:val="00B802B5"/>
    <w:rsid w:val="00B87C85"/>
    <w:rsid w:val="00BB21A6"/>
    <w:rsid w:val="00BB2DFF"/>
    <w:rsid w:val="00BC43BD"/>
    <w:rsid w:val="00BC51E0"/>
    <w:rsid w:val="00BF379D"/>
    <w:rsid w:val="00BF68B8"/>
    <w:rsid w:val="00C02E98"/>
    <w:rsid w:val="00C1416F"/>
    <w:rsid w:val="00C23B9E"/>
    <w:rsid w:val="00C279A3"/>
    <w:rsid w:val="00C30849"/>
    <w:rsid w:val="00C465FE"/>
    <w:rsid w:val="00C62870"/>
    <w:rsid w:val="00C67047"/>
    <w:rsid w:val="00C80084"/>
    <w:rsid w:val="00C90CED"/>
    <w:rsid w:val="00CB7D4F"/>
    <w:rsid w:val="00CE2746"/>
    <w:rsid w:val="00CE3E99"/>
    <w:rsid w:val="00CF3975"/>
    <w:rsid w:val="00D055F5"/>
    <w:rsid w:val="00D1354D"/>
    <w:rsid w:val="00D30C72"/>
    <w:rsid w:val="00D84E05"/>
    <w:rsid w:val="00DB53A4"/>
    <w:rsid w:val="00DC18FA"/>
    <w:rsid w:val="00DE3FEC"/>
    <w:rsid w:val="00E155A4"/>
    <w:rsid w:val="00E5146D"/>
    <w:rsid w:val="00E809E4"/>
    <w:rsid w:val="00E93867"/>
    <w:rsid w:val="00EA423B"/>
    <w:rsid w:val="00EB407F"/>
    <w:rsid w:val="00EE053F"/>
    <w:rsid w:val="00F24915"/>
    <w:rsid w:val="00F26829"/>
    <w:rsid w:val="00F401F9"/>
    <w:rsid w:val="00F442B8"/>
    <w:rsid w:val="00F45405"/>
    <w:rsid w:val="00F648EE"/>
    <w:rsid w:val="00F745B2"/>
    <w:rsid w:val="00F945F2"/>
    <w:rsid w:val="00FC34D9"/>
    <w:rsid w:val="00FD1854"/>
    <w:rsid w:val="00FD66C9"/>
    <w:rsid w:val="00FD754F"/>
    <w:rsid w:val="00FD75E1"/>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Prrafodelista">
    <w:name w:val="List Paragraph"/>
    <w:basedOn w:val="Normal"/>
    <w:uiPriority w:val="34"/>
    <w:qFormat/>
    <w:rsid w:val="003542BA"/>
    <w:pPr>
      <w:ind w:left="720"/>
      <w:contextualSpacing/>
    </w:pPr>
    <w:rPr>
      <w:rFonts w:ascii="Times New Roman" w:eastAsia="Times New Roman" w:hAnsi="Times New Roman" w:cs="Times New Roman"/>
      <w:sz w:val="20"/>
      <w:szCs w:val="20"/>
      <w:lang w:val="en-US"/>
    </w:rPr>
  </w:style>
  <w:style w:type="character" w:styleId="Hipervnculo">
    <w:name w:val="Hyperlink"/>
    <w:basedOn w:val="Fuentedeprrafopredeter"/>
    <w:uiPriority w:val="99"/>
    <w:unhideWhenUsed/>
    <w:rsid w:val="003542BA"/>
    <w:rPr>
      <w:color w:val="0563C1" w:themeColor="hyperlink"/>
      <w:u w:val="single"/>
    </w:rPr>
  </w:style>
  <w:style w:type="paragraph" w:styleId="Textonotapie">
    <w:name w:val="footnote text"/>
    <w:basedOn w:val="Normal"/>
    <w:link w:val="TextonotapieCar"/>
    <w:uiPriority w:val="99"/>
    <w:semiHidden/>
    <w:unhideWhenUsed/>
    <w:rsid w:val="003542BA"/>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uiPriority w:val="99"/>
    <w:semiHidden/>
    <w:rsid w:val="003542BA"/>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3542BA"/>
    <w:rPr>
      <w:vertAlign w:val="superscript"/>
    </w:rPr>
  </w:style>
  <w:style w:type="character" w:styleId="Mencinsinresolver">
    <w:name w:val="Unresolved Mention"/>
    <w:basedOn w:val="Fuentedeprrafopredeter"/>
    <w:uiPriority w:val="99"/>
    <w:semiHidden/>
    <w:unhideWhenUsed/>
    <w:rsid w:val="004027DE"/>
    <w:rPr>
      <w:color w:val="605E5C"/>
      <w:shd w:val="clear" w:color="auto" w:fill="E1DFDD"/>
    </w:rPr>
  </w:style>
  <w:style w:type="paragraph" w:styleId="Sinespaciado">
    <w:name w:val="No Spacing"/>
    <w:uiPriority w:val="1"/>
    <w:qFormat/>
    <w:rsid w:val="00CE2746"/>
    <w:rPr>
      <w:rFonts w:eastAsiaTheme="minorEastAsia"/>
      <w:lang w:val="es-ES_tradnl" w:eastAsia="es-ES"/>
    </w:rPr>
  </w:style>
  <w:style w:type="table" w:styleId="Tablaconcuadrcula">
    <w:name w:val="Table Grid"/>
    <w:basedOn w:val="Tablanormal"/>
    <w:uiPriority w:val="59"/>
    <w:rsid w:val="00C80084"/>
    <w:rPr>
      <w:rFonts w:eastAsiaTheme="minorEastAsia"/>
      <w:sz w:val="22"/>
      <w:szCs w:val="22"/>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demensaje">
    <w:name w:val="Message Header"/>
    <w:basedOn w:val="Textoindependiente"/>
    <w:link w:val="EncabezadodemensajeCar"/>
    <w:rsid w:val="00582E02"/>
    <w:pPr>
      <w:keepLines/>
      <w:spacing w:line="180" w:lineRule="atLeast"/>
      <w:ind w:left="1555" w:hanging="720"/>
    </w:pPr>
    <w:rPr>
      <w:rFonts w:ascii="Arial" w:eastAsia="Malgun Gothic" w:hAnsi="Arial" w:cs="Times New Roman"/>
      <w:spacing w:val="-5"/>
      <w:sz w:val="20"/>
      <w:szCs w:val="20"/>
    </w:rPr>
  </w:style>
  <w:style w:type="character" w:customStyle="1" w:styleId="EncabezadodemensajeCar">
    <w:name w:val="Encabezado de mensaje Car"/>
    <w:basedOn w:val="Fuentedeprrafopredeter"/>
    <w:link w:val="Encabezadodemensaje"/>
    <w:rsid w:val="00582E02"/>
    <w:rPr>
      <w:rFonts w:ascii="Arial" w:eastAsia="Malgun Gothic" w:hAnsi="Arial" w:cs="Times New Roman"/>
      <w:spacing w:val="-5"/>
      <w:sz w:val="20"/>
      <w:szCs w:val="20"/>
      <w:lang w:val="es-ES"/>
    </w:rPr>
  </w:style>
  <w:style w:type="paragraph" w:customStyle="1" w:styleId="Encabezadodemensaje-primera">
    <w:name w:val="Encabezado de mensaje - primera"/>
    <w:basedOn w:val="Encabezadodemensaje"/>
    <w:next w:val="Encabezadodemensaje"/>
    <w:rsid w:val="00582E02"/>
    <w:pPr>
      <w:spacing w:before="220"/>
    </w:pPr>
  </w:style>
  <w:style w:type="character" w:customStyle="1" w:styleId="Rtulodeencabezadodemensaje">
    <w:name w:val="Rótulo de encabezado de mensaje"/>
    <w:rsid w:val="00582E02"/>
    <w:rPr>
      <w:rFonts w:ascii="Arial Black" w:hAnsi="Arial Black"/>
      <w:spacing w:val="-10"/>
      <w:sz w:val="18"/>
      <w:lang w:bidi="ar-SA"/>
    </w:rPr>
  </w:style>
  <w:style w:type="paragraph" w:customStyle="1" w:styleId="Encabezadodemensaje-ltima">
    <w:name w:val="Encabezado de mensaje - última"/>
    <w:basedOn w:val="Encabezadodemensaje"/>
    <w:next w:val="Textoindependiente"/>
    <w:rsid w:val="00582E02"/>
    <w:pPr>
      <w:pBdr>
        <w:bottom w:val="single" w:sz="6" w:space="15" w:color="auto"/>
      </w:pBdr>
      <w:spacing w:after="320"/>
    </w:pPr>
  </w:style>
  <w:style w:type="paragraph" w:styleId="Textoindependiente">
    <w:name w:val="Body Text"/>
    <w:basedOn w:val="Normal"/>
    <w:link w:val="TextoindependienteCar"/>
    <w:uiPriority w:val="99"/>
    <w:semiHidden/>
    <w:unhideWhenUsed/>
    <w:rsid w:val="00582E02"/>
    <w:pPr>
      <w:spacing w:after="120"/>
    </w:pPr>
  </w:style>
  <w:style w:type="character" w:customStyle="1" w:styleId="TextoindependienteCar">
    <w:name w:val="Texto independiente Car"/>
    <w:basedOn w:val="Fuentedeprrafopredeter"/>
    <w:link w:val="Textoindependiente"/>
    <w:uiPriority w:val="99"/>
    <w:semiHidden/>
    <w:rsid w:val="00582E02"/>
    <w:rPr>
      <w:rFonts w:eastAsiaTheme="minorEastAsia"/>
      <w:lang w:val="es-ES"/>
    </w:rPr>
  </w:style>
  <w:style w:type="paragraph" w:customStyle="1" w:styleId="Default">
    <w:name w:val="Default"/>
    <w:rsid w:val="00E5146D"/>
    <w:pPr>
      <w:autoSpaceDE w:val="0"/>
      <w:autoSpaceDN w:val="0"/>
      <w:adjustRightInd w:val="0"/>
    </w:pPr>
    <w:rPr>
      <w:rFonts w:ascii="Noto Sans" w:hAnsi="Noto Sans" w:cs="Noto Sans"/>
      <w:color w:val="000000"/>
    </w:rPr>
  </w:style>
  <w:style w:type="table" w:customStyle="1" w:styleId="Tablaconcuadrcula1">
    <w:name w:val="Tabla con cuadrícula1"/>
    <w:basedOn w:val="Tablanormal"/>
    <w:next w:val="Tablaconcuadrcula"/>
    <w:uiPriority w:val="39"/>
    <w:rsid w:val="00692FF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979</Words>
  <Characters>5385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Gabriel  Rincon Enriquez</cp:lastModifiedBy>
  <cp:revision>7</cp:revision>
  <dcterms:created xsi:type="dcterms:W3CDTF">2025-11-11T17:42:00Z</dcterms:created>
  <dcterms:modified xsi:type="dcterms:W3CDTF">2025-11-11T18:02:00Z</dcterms:modified>
</cp:coreProperties>
</file>