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79739" w14:textId="77777777" w:rsidR="00E456E0" w:rsidRPr="00367125" w:rsidRDefault="00E456E0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3F655A78" w14:textId="77777777" w:rsidR="00E456E0" w:rsidRPr="00367125" w:rsidRDefault="00E456E0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46FA95C2" w14:textId="7604DDDB" w:rsidR="00E456E0" w:rsidRPr="00367125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b/>
          <w:bCs/>
          <w:color w:val="000000" w:themeColor="text1"/>
          <w:sz w:val="24"/>
          <w:szCs w:val="24"/>
        </w:rPr>
        <w:t>Protocolo Institucional para la Atención de Controversias y Actos de Violencia</w:t>
      </w:r>
    </w:p>
    <w:p w14:paraId="1273FEF0" w14:textId="361F899A" w:rsidR="00E456E0" w:rsidRPr="00367125" w:rsidRDefault="00690071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“ATENCIÓN INTEGRAL A SITUACIONES DE TODO TIPO DE VIOLEN</w:t>
      </w:r>
      <w:r w:rsidR="004F64A5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C</w:t>
      </w: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IA Y CONFLICTOS INTERPERSONALES”</w:t>
      </w:r>
    </w:p>
    <w:p w14:paraId="02AB2BA1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E72C239" w14:textId="5DFE5FB9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1. Presentación</w:t>
      </w:r>
    </w:p>
    <w:p w14:paraId="0391D183" w14:textId="10708ABB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Este documento establece los lineamientos y procedimientos institucionales para la prevención, atención y erradicación de controversias y actos de violencia en todas sus formas, con el objetivo de fomentar un entorno académico y laboral libre de hostigamiento, discriminación y cualquier tipo de violencia. El CIATEJ, </w:t>
      </w:r>
      <w:r w:rsidR="00F33197" w:rsidRPr="00367125">
        <w:rPr>
          <w:rFonts w:ascii="Arial Narrow" w:hAnsi="Arial Narrow"/>
          <w:color w:val="000000" w:themeColor="text1"/>
          <w:sz w:val="24"/>
          <w:szCs w:val="24"/>
        </w:rPr>
        <w:t xml:space="preserve">A.C.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comprometido con la equidad y el respeto a los derechos humanos, cuenta con la certificación </w:t>
      </w:r>
      <w:r w:rsidR="00C328C9" w:rsidRPr="00367125">
        <w:rPr>
          <w:rFonts w:ascii="Arial Narrow" w:hAnsi="Arial Narrow"/>
          <w:color w:val="000000" w:themeColor="text1"/>
          <w:sz w:val="24"/>
          <w:szCs w:val="24"/>
        </w:rPr>
        <w:t xml:space="preserve">nivel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plata bajo la </w:t>
      </w:r>
      <w:r w:rsidR="00C328C9" w:rsidRPr="00367125">
        <w:rPr>
          <w:rFonts w:ascii="Arial Narrow" w:hAnsi="Arial Narrow"/>
          <w:color w:val="000000" w:themeColor="text1"/>
          <w:sz w:val="24"/>
          <w:szCs w:val="24"/>
        </w:rPr>
        <w:t>NMX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-R-025-SCFI-2015, elevada a oro en la última revisión por la instancia certificadora.</w:t>
      </w:r>
    </w:p>
    <w:p w14:paraId="0C1F490A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En primera instancia se realiza una estrategia de promoción dirigida a las y los estudiantes en la cual se les brinda una charla informativa sobre el pronunciamiento Cero Tolerancia al Hostigamiento Sexual y Acoso Sexual, así como los diferentes tipos de violencia reconocidos en el código de conducta. Se les proporciona contactos institucionales para la atención y recepción de quejas. </w:t>
      </w:r>
    </w:p>
    <w:p w14:paraId="2741ABD2" w14:textId="479E999A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Cuando una persona </w:t>
      </w:r>
      <w:r w:rsidR="00770433" w:rsidRPr="00367125">
        <w:rPr>
          <w:rFonts w:ascii="Arial Narrow" w:hAnsi="Arial Narrow"/>
          <w:color w:val="000000" w:themeColor="text1"/>
          <w:sz w:val="24"/>
          <w:szCs w:val="24"/>
        </w:rPr>
        <w:t>toma la decisión de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presentar una queja, el Departamento de CCOPG y Posgrado realiza atención inicial y valora las posibles vías de soluciones. En los casos e</w:t>
      </w:r>
      <w:r w:rsidR="00C328C9" w:rsidRPr="00367125">
        <w:rPr>
          <w:rFonts w:ascii="Arial Narrow" w:hAnsi="Arial Narrow"/>
          <w:color w:val="000000" w:themeColor="text1"/>
          <w:sz w:val="24"/>
          <w:szCs w:val="24"/>
        </w:rPr>
        <w:t>n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los que la situación puede resolverse tras negociación, mediación y/o acciones internas se llevan a cabo dentro de</w:t>
      </w:r>
      <w:r w:rsidR="00C328C9" w:rsidRPr="00367125">
        <w:rPr>
          <w:rFonts w:ascii="Arial Narrow" w:hAnsi="Arial Narrow"/>
          <w:color w:val="000000" w:themeColor="text1"/>
          <w:sz w:val="24"/>
          <w:szCs w:val="24"/>
        </w:rPr>
        <w:t xml:space="preserve"> los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propios departamentos.</w:t>
      </w:r>
    </w:p>
    <w:p w14:paraId="1D69710E" w14:textId="351EBAAD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En aquellos casos en los que la gravedad requiere una intervención mayor, se procede a la canalización formal al Comité de ética y/u Órgano Interno de Control del CIATEJ, A.C. </w:t>
      </w:r>
    </w:p>
    <w:p w14:paraId="76EC44E7" w14:textId="616DBB7D" w:rsidR="00770433" w:rsidRPr="00367125" w:rsidRDefault="00770433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El alcance de este Protocolo es integral y aplica a la totalidad de la Comunidad CIATEJ, A.C. </w:t>
      </w:r>
    </w:p>
    <w:p w14:paraId="48AECC66" w14:textId="77777777" w:rsidR="00770433" w:rsidRPr="00367125" w:rsidRDefault="00770433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47C52E4" w14:textId="77777777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2. Objetivo General</w:t>
      </w:r>
    </w:p>
    <w:p w14:paraId="1084E90C" w14:textId="09C7C829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Establecer protocolos claros y eficientes </w:t>
      </w:r>
      <w:r w:rsidR="00770433" w:rsidRPr="00367125">
        <w:rPr>
          <w:rFonts w:ascii="Arial Narrow" w:hAnsi="Arial Narrow"/>
          <w:color w:val="000000" w:themeColor="text1"/>
          <w:sz w:val="24"/>
          <w:szCs w:val="24"/>
        </w:rPr>
        <w:t xml:space="preserve">con perspectiva de género y derechos humanos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para la prevención, detección, atención, seguimiento y resolución de controversias y actos de violencia dentro del CIATEJ,</w:t>
      </w:r>
      <w:r w:rsidR="00F33197" w:rsidRPr="00367125">
        <w:rPr>
          <w:rFonts w:ascii="Arial Narrow" w:hAnsi="Arial Narrow"/>
          <w:color w:val="000000" w:themeColor="text1"/>
          <w:sz w:val="24"/>
          <w:szCs w:val="24"/>
        </w:rPr>
        <w:t xml:space="preserve"> A.C.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promoviendo una cultura institucional de respeto, igualdad y </w:t>
      </w:r>
      <w:proofErr w:type="gramStart"/>
      <w:r w:rsidRPr="00367125">
        <w:rPr>
          <w:rFonts w:ascii="Arial Narrow" w:hAnsi="Arial Narrow"/>
          <w:color w:val="000000" w:themeColor="text1"/>
          <w:sz w:val="24"/>
          <w:szCs w:val="24"/>
        </w:rPr>
        <w:t>cero tolerancia</w:t>
      </w:r>
      <w:proofErr w:type="gramEnd"/>
      <w:r w:rsidR="00770433" w:rsidRPr="00367125">
        <w:rPr>
          <w:rFonts w:ascii="Arial Narrow" w:hAnsi="Arial Narrow"/>
          <w:color w:val="000000" w:themeColor="text1"/>
          <w:sz w:val="24"/>
          <w:szCs w:val="24"/>
        </w:rPr>
        <w:t xml:space="preserve"> al hostigamiento sexual, acoso sexual, todo tipo de violencia y discriminación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7B9AD8CE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3C4E524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ED393E9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97BAB98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6E83DFB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F91D531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8F9A495" w14:textId="4E3A4D7E" w:rsidR="00770433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3. Objetivos Específicos</w:t>
      </w:r>
    </w:p>
    <w:p w14:paraId="0415A9A7" w14:textId="3E2628D7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Prevenir conductas de hostigamiento, acoso, discriminación y violencia.</w:t>
      </w:r>
    </w:p>
    <w:p w14:paraId="4E1A2450" w14:textId="79AC6593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Brindar mecanismos de atención segura, confidencial y oportuna a las personas afectadas.</w:t>
      </w:r>
    </w:p>
    <w:p w14:paraId="5BEFF730" w14:textId="556C11B1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Promover la cultura de igualdad de género, derechos humanos y convivencia pacífica.</w:t>
      </w:r>
    </w:p>
    <w:p w14:paraId="1FEADC62" w14:textId="06743ED8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Garantizar el cumplimiento de la NM</w:t>
      </w:r>
      <w:r w:rsidR="00684ECB" w:rsidRPr="00367125">
        <w:rPr>
          <w:rFonts w:ascii="Arial Narrow" w:hAnsi="Arial Narrow"/>
          <w:color w:val="000000" w:themeColor="text1"/>
          <w:sz w:val="24"/>
          <w:szCs w:val="24"/>
        </w:rPr>
        <w:t>X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-R-025-SCFI-2015 y demás normativas aplicables.</w:t>
      </w:r>
    </w:p>
    <w:p w14:paraId="52ADB845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C7AC8C6" w14:textId="0044D474" w:rsidR="00684ECB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4. Marco Normativo</w:t>
      </w:r>
    </w:p>
    <w:p w14:paraId="6B971C29" w14:textId="1574EEBD" w:rsidR="00684ECB" w:rsidRPr="00367125" w:rsidRDefault="00684ECB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El presente protocolo se sustenta en la normativa vigente y se complementa con los siguientes instrumentos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:</w:t>
      </w:r>
    </w:p>
    <w:p w14:paraId="1EA9AB5E" w14:textId="108AB6A6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Constitución Política de los Estados Unidos Mexicanos.</w:t>
      </w:r>
    </w:p>
    <w:p w14:paraId="6E1FFECD" w14:textId="0AAF5425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Ley General de Acceso de las Mujeres a una Vida Libre de Violencia.</w:t>
      </w:r>
    </w:p>
    <w:p w14:paraId="5C7EED84" w14:textId="0A41E10D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Ley Federal del Trabajo.</w:t>
      </w:r>
    </w:p>
    <w:p w14:paraId="0C6AC24A" w14:textId="04E06551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N</w:t>
      </w:r>
      <w:r w:rsidR="00684ECB" w:rsidRPr="00367125">
        <w:rPr>
          <w:rFonts w:ascii="Arial Narrow" w:hAnsi="Arial Narrow"/>
          <w:color w:val="000000" w:themeColor="text1"/>
          <w:sz w:val="24"/>
          <w:szCs w:val="24"/>
        </w:rPr>
        <w:t>MX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-R-025-SCFI-2015 en Igualdad Laboral y No Discriminación.</w:t>
      </w:r>
    </w:p>
    <w:p w14:paraId="76AC427B" w14:textId="015540B5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Código de Ética del CIATEJ</w:t>
      </w:r>
      <w:r w:rsidR="00684ECB" w:rsidRPr="00367125">
        <w:rPr>
          <w:rFonts w:ascii="Arial Narrow" w:hAnsi="Arial Narrow"/>
          <w:color w:val="000000" w:themeColor="text1"/>
          <w:sz w:val="24"/>
          <w:szCs w:val="24"/>
        </w:rPr>
        <w:t>, A.C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3EA01328" w14:textId="4B72C598" w:rsidR="00684ECB" w:rsidRPr="00367125" w:rsidRDefault="00684ECB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Código de Conducta de los servidores y servidoras públicas </w:t>
      </w:r>
    </w:p>
    <w:p w14:paraId="0D132938" w14:textId="2F5FAF56" w:rsidR="00684ECB" w:rsidRPr="00370A46" w:rsidRDefault="00370A46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Lineamiento de estudios de</w:t>
      </w:r>
      <w:r w:rsidR="00684ECB" w:rsidRPr="00370A46">
        <w:rPr>
          <w:rFonts w:ascii="Arial Narrow" w:hAnsi="Arial Narrow"/>
          <w:color w:val="000000" w:themeColor="text1"/>
          <w:sz w:val="24"/>
          <w:szCs w:val="24"/>
        </w:rPr>
        <w:t xml:space="preserve"> posgrado </w:t>
      </w:r>
    </w:p>
    <w:p w14:paraId="098BC781" w14:textId="113852CF" w:rsidR="00684ECB" w:rsidRPr="00367125" w:rsidRDefault="00684ECB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A Pronunciamiento Cero Tolerancia al Hostigamiento Sexual y Acoso Sexual </w:t>
      </w:r>
    </w:p>
    <w:p w14:paraId="15752B61" w14:textId="20F32813" w:rsidR="00370A46" w:rsidRPr="00370A46" w:rsidRDefault="00684ECB" w:rsidP="00370A46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B Procedimiento para Presentación de Denuncias ante el CEPCI del CIATEJ, </w:t>
      </w:r>
    </w:p>
    <w:p w14:paraId="6BBD7E47" w14:textId="77777777" w:rsidR="00684ECB" w:rsidRPr="00367125" w:rsidRDefault="00684ECB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E4015D8" w14:textId="6B536CF2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5. Definiciones</w:t>
      </w:r>
    </w:p>
    <w:p w14:paraId="3951CDEB" w14:textId="7B7EB24B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Violencia: Cualquier acción u omisión que cause daño físico, psicológico, sexual, económico o patrimonial.</w:t>
      </w:r>
    </w:p>
    <w:p w14:paraId="12557C34" w14:textId="665345BC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Hostigamiento: Ejercicio de poder en una relación de subordinación, con conductas verbales o físicas de naturaleza sexual.</w:t>
      </w:r>
    </w:p>
    <w:p w14:paraId="748A8378" w14:textId="509C9F0F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Acoso: Conducta no deseada de naturaleza sexual sin relación de subordinación.</w:t>
      </w:r>
    </w:p>
    <w:p w14:paraId="03F06B0B" w14:textId="77777777" w:rsid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Discriminación: Distinción</w:t>
      </w:r>
      <w:r w:rsidR="00770433" w:rsidRPr="00367125">
        <w:rPr>
          <w:rFonts w:ascii="Arial Narrow" w:hAnsi="Arial Narrow"/>
          <w:color w:val="000000" w:themeColor="text1"/>
          <w:sz w:val="24"/>
          <w:szCs w:val="24"/>
        </w:rPr>
        <w:t xml:space="preserve">, exclusión, restricción o preferencia que, por acción u omisión, con intención o sin ella, no sea objetiva, racional ni proporcional y tenga por objeto o resultado obstaculizar, restringir, impedir, menoscabar o anular el reconocimiento, goce o ejercicio de los derechos humanos y libertades, cuando se base en uno o mas de los siguientes motivos: el origen étnico o nacional, el color de </w:t>
      </w:r>
    </w:p>
    <w:p w14:paraId="7B42F7A7" w14:textId="1D78DF8D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124E5DC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DB1BB1C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FDBCAB9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003547B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186778C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A167D34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BC0874C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A10D063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4FCA535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A318203" w14:textId="22175AA1" w:rsidR="00367125" w:rsidRDefault="00770433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la piel, la cultura. El sexo, el género, la edad, las discapacidades, la condición social, </w:t>
      </w:r>
    </w:p>
    <w:p w14:paraId="53147B9E" w14:textId="48556626" w:rsidR="00591D86" w:rsidRPr="00367125" w:rsidRDefault="00770433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económica, de salud o jurídica, la religión, la apariencia física, las características</w:t>
      </w:r>
      <w:r w:rsidR="00591D86" w:rsidRPr="0036712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35CF3883" w14:textId="0E995222" w:rsidR="00684ECB" w:rsidRPr="00367125" w:rsidRDefault="00770433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genéticas, la situación migratoria, el embarazo, la lengua, las opiniones,</w:t>
      </w:r>
      <w:r w:rsidR="0036712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las preferencias sexuales, la identidad o filiación política, el estado civil, la situación familiar, las responsabilidades familiares, el idioma, los antecedentes penales o cualquier otro motivo. También se entenderá como discriminación la homofobia, misoginia, cualquier manifestación de xenofobia, segregación racial, antisemitismo, así como la discriminación racial y otras formas conexas de intolerancia. </w:t>
      </w:r>
    </w:p>
    <w:p w14:paraId="40D1B664" w14:textId="77777777" w:rsidR="00591D86" w:rsidRPr="00367125" w:rsidRDefault="00591D86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F9688E4" w14:textId="577EC080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6. Principios Rectores</w:t>
      </w:r>
    </w:p>
    <w:p w14:paraId="1D0E4C87" w14:textId="2B357F73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Confidencialidad</w:t>
      </w:r>
    </w:p>
    <w:p w14:paraId="489A90C6" w14:textId="2E08D68A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Perspectiva de género</w:t>
      </w:r>
    </w:p>
    <w:p w14:paraId="6CB0E730" w14:textId="1A3C9887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Respeto a los derechos humanos</w:t>
      </w:r>
    </w:p>
    <w:p w14:paraId="59A20A22" w14:textId="665FDB69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Protección a víctimas y denunciantes</w:t>
      </w:r>
    </w:p>
    <w:p w14:paraId="386B9132" w14:textId="55E20F8D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Legalidad e imparcialidad</w:t>
      </w:r>
    </w:p>
    <w:p w14:paraId="11ADF2A6" w14:textId="43B6B411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proofErr w:type="gramStart"/>
      <w:r w:rsidRPr="00367125">
        <w:rPr>
          <w:rFonts w:ascii="Arial Narrow" w:hAnsi="Arial Narrow"/>
          <w:color w:val="000000" w:themeColor="text1"/>
          <w:sz w:val="24"/>
          <w:szCs w:val="24"/>
        </w:rPr>
        <w:t>Cero tolerancia</w:t>
      </w:r>
      <w:proofErr w:type="gramEnd"/>
    </w:p>
    <w:p w14:paraId="00B21DAF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C2FD314" w14:textId="6BBA04CE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7. Alcance</w:t>
      </w:r>
    </w:p>
    <w:p w14:paraId="6883E072" w14:textId="124FF579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Aplica a todo el personal académico, administrativo, estudiantes, prestadores de servicio social, proveedores y visitantes del CIATEJ</w:t>
      </w:r>
      <w:r w:rsidR="00F33197" w:rsidRPr="00367125">
        <w:rPr>
          <w:rFonts w:ascii="Arial Narrow" w:hAnsi="Arial Narrow"/>
          <w:color w:val="000000" w:themeColor="text1"/>
          <w:sz w:val="24"/>
          <w:szCs w:val="24"/>
        </w:rPr>
        <w:t>, A.C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783113FB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7A0841A" w14:textId="5A57476C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8. Estructura Operativa</w:t>
      </w:r>
    </w:p>
    <w:p w14:paraId="741BAE1C" w14:textId="77777777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8.1 Comité de Atención a la Violencia y Controversias (CAVC)</w:t>
      </w:r>
    </w:p>
    <w:p w14:paraId="64F34ADA" w14:textId="4610AAC4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Integración</w:t>
      </w:r>
    </w:p>
    <w:p w14:paraId="25D4F6C6" w14:textId="6D4FE535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Funciones</w:t>
      </w:r>
    </w:p>
    <w:p w14:paraId="2D1923BB" w14:textId="77777777" w:rsidR="00684ECB" w:rsidRPr="00367125" w:rsidRDefault="00684ECB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4444733" w14:textId="73F8AB6A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8.2 Unidad de Género y Derechos Humanos</w:t>
      </w:r>
    </w:p>
    <w:p w14:paraId="5A6C3F79" w14:textId="023F38BC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Funciones</w:t>
      </w:r>
    </w:p>
    <w:p w14:paraId="063AD27F" w14:textId="65CA2C8A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Coordinación con instancias internas y externas</w:t>
      </w:r>
    </w:p>
    <w:p w14:paraId="181BA924" w14:textId="77777777" w:rsidR="00684ECB" w:rsidRPr="00367125" w:rsidRDefault="00684ECB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DD7F41C" w14:textId="2AF0AD82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9. Protocolo de Prevención</w:t>
      </w:r>
    </w:p>
    <w:p w14:paraId="6E3D0ED1" w14:textId="07DA85A8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5463D0B" w14:textId="77777777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1DCC8E4" w14:textId="2E13A540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2B75A99" w14:textId="0F1B6AF7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9E32EDE" w14:textId="0B89C9C7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00E8393" w14:textId="77777777" w:rsidR="00367125" w:rsidRP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0BCBFAB" w14:textId="04660A03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Programas de sensibilización y capacitación.</w:t>
      </w:r>
    </w:p>
    <w:p w14:paraId="4411F9BC" w14:textId="4CC94480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Difusión de políticas institucionales.</w:t>
      </w:r>
    </w:p>
    <w:p w14:paraId="14C26AB8" w14:textId="4F79E982" w:rsidR="00C328C9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Promoción de mecanismos de denuncia.</w:t>
      </w:r>
    </w:p>
    <w:p w14:paraId="1931B8FF" w14:textId="54746BB9" w:rsidR="00591D86" w:rsidRPr="00367125" w:rsidRDefault="00080124" w:rsidP="00367125">
      <w:pPr>
        <w:pStyle w:val="Prrafodelista"/>
        <w:numPr>
          <w:ilvl w:val="0"/>
          <w:numId w:val="36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Evaluación y seguimiento de clima </w:t>
      </w:r>
      <w:r w:rsidR="00F33197" w:rsidRPr="00367125">
        <w:rPr>
          <w:rFonts w:ascii="Arial Narrow" w:hAnsi="Arial Narrow"/>
          <w:color w:val="000000" w:themeColor="text1"/>
          <w:sz w:val="24"/>
          <w:szCs w:val="24"/>
        </w:rPr>
        <w:t>organizacional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28A44FEF" w14:textId="77777777" w:rsidR="00C328C9" w:rsidRPr="00367125" w:rsidRDefault="00C328C9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D827DF4" w14:textId="747B874F" w:rsidR="00591D86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10. Atención </w:t>
      </w:r>
      <w:r w:rsidR="00F33197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a</w:t>
      </w: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Denuncias</w:t>
      </w:r>
    </w:p>
    <w:p w14:paraId="7DD3C6BA" w14:textId="0A4A3F3B" w:rsidR="00080124" w:rsidRPr="00370A46" w:rsidRDefault="00367125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10.1 </w:t>
      </w:r>
      <w:r w:rsidR="00080124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Recepción de la denuncia</w:t>
      </w:r>
    </w:p>
    <w:p w14:paraId="2FEF073A" w14:textId="370EF69C" w:rsidR="00352859" w:rsidRPr="002A1326" w:rsidRDefault="00352859" w:rsidP="00367125">
      <w:pPr>
        <w:spacing w:before="100" w:beforeAutospacing="1" w:after="12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El proceso inicia con la presentación de la denuncia, la cual puede ser formulada por cualquier persona que forme parte de la comunidad CIATEJ</w:t>
      </w:r>
      <w:r w:rsidR="00CF73A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, A.C.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o externa</w:t>
      </w:r>
      <w:r w:rsidR="00F33197"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por los </w:t>
      </w:r>
      <w:r w:rsidR="00F33197"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c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 xml:space="preserve">anales </w:t>
      </w:r>
      <w:r w:rsidR="00F33197"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o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ficiales (Conforme al Anexo B):</w:t>
      </w:r>
    </w:p>
    <w:p w14:paraId="7FF51259" w14:textId="17342584" w:rsidR="00352859" w:rsidRPr="00367125" w:rsidRDefault="00352859" w:rsidP="00367125">
      <w:pPr>
        <w:pStyle w:val="Prrafodelista"/>
        <w:numPr>
          <w:ilvl w:val="0"/>
          <w:numId w:val="36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Vía Electrónica: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Al correo electrónico oficial </w:t>
      </w:r>
    </w:p>
    <w:p w14:paraId="77CDD375" w14:textId="0701EF1E" w:rsidR="00352859" w:rsidRPr="00367125" w:rsidRDefault="00352859" w:rsidP="00367125">
      <w:pPr>
        <w:pStyle w:val="Prrafodelista"/>
        <w:numPr>
          <w:ilvl w:val="0"/>
          <w:numId w:val="36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Vía Presencial/Escrita: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Presentada ante la Secretaría Ejecutiva del CEPCI</w:t>
      </w:r>
    </w:p>
    <w:p w14:paraId="2E36201F" w14:textId="468FF1AC" w:rsidR="00352859" w:rsidRPr="00367125" w:rsidRDefault="00352859" w:rsidP="00367125">
      <w:pPr>
        <w:pStyle w:val="Prrafodelista"/>
        <w:numPr>
          <w:ilvl w:val="0"/>
          <w:numId w:val="36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Requisitos Mínimos: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La denuncia debe presentarse por escrito y contener, al menos, la narrativa clara de los hechos, especificando las circunstancias de tiempo, modo y lugar en las que se desarrollan</w:t>
      </w:r>
    </w:p>
    <w:p w14:paraId="387913BB" w14:textId="0F3F0A82" w:rsidR="00080124" w:rsidRPr="00367125" w:rsidRDefault="00F33197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Dicha denuncia puede ser presentada en el departamento de CCOPG, Posgrado, 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 xml:space="preserve">Personas Consejeras del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Comité de Ética u OIC.</w:t>
      </w:r>
    </w:p>
    <w:p w14:paraId="0C39F695" w14:textId="2F66047E" w:rsidR="00F33197" w:rsidRPr="00367125" w:rsidRDefault="00F33197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En caso de presentarla inicialmente en el departamento CCOPG y Posgrado se realizará inmediatamente un análisis de caso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,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determinando 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>así si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la solución puede ser con base a negociación, mediación 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y/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o con las medidas de protección inmediata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.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E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>n caso de tener una gravidez mayor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,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 xml:space="preserve"> se canalizará a las instancias mencionadas.</w:t>
      </w:r>
    </w:p>
    <w:p w14:paraId="411E40F1" w14:textId="77777777" w:rsidR="00F33197" w:rsidRPr="00367125" w:rsidRDefault="00F33197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C85A5DE" w14:textId="02ACC11C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10.2 Medidas de Protección Inmediata</w:t>
      </w:r>
    </w:p>
    <w:p w14:paraId="0E391C87" w14:textId="24CD09CD" w:rsidR="00080124" w:rsidRPr="00367125" w:rsidRDefault="00080124" w:rsidP="00367125">
      <w:pPr>
        <w:pStyle w:val="Prrafodelista"/>
        <w:numPr>
          <w:ilvl w:val="0"/>
          <w:numId w:val="34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Salvaguarda</w:t>
      </w:r>
      <w:r w:rsidR="00591D86" w:rsidRPr="00367125">
        <w:rPr>
          <w:rFonts w:ascii="Arial Narrow" w:hAnsi="Arial Narrow"/>
          <w:color w:val="000000" w:themeColor="text1"/>
          <w:sz w:val="24"/>
          <w:szCs w:val="24"/>
        </w:rPr>
        <w:t>r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la integridad de la persona afectada</w:t>
      </w:r>
    </w:p>
    <w:p w14:paraId="725C9548" w14:textId="664DC729" w:rsidR="00080124" w:rsidRPr="00367125" w:rsidRDefault="00080124" w:rsidP="00367125">
      <w:pPr>
        <w:pStyle w:val="Prrafodelista"/>
        <w:numPr>
          <w:ilvl w:val="0"/>
          <w:numId w:val="34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Separación preventiva de las partes</w:t>
      </w:r>
    </w:p>
    <w:p w14:paraId="50DE6BC0" w14:textId="77777777" w:rsidR="00F33197" w:rsidRPr="00367125" w:rsidRDefault="00F33197" w:rsidP="00367125">
      <w:pPr>
        <w:pStyle w:val="Prrafodelista"/>
        <w:ind w:left="1080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ADF3E1B" w14:textId="7B342B01" w:rsidR="00591D86" w:rsidRPr="00370A46" w:rsidRDefault="00591D86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10.3</w:t>
      </w:r>
      <w:r w:rsidR="00352859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Medidas de protección e investigación </w:t>
      </w:r>
    </w:p>
    <w:p w14:paraId="7D7C2A06" w14:textId="77777777" w:rsidR="00352859" w:rsidRP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Medidas Cautelares: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En la sesión de análisis, el CEPCI determinará la conveniencia de emitir 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medidas de protección inmediatas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para salvaguardar la integridad de la persona afectada. Estas medidas podrán incluir la separación preventiva o reubicación temporal, y serán propuestas a la unidad administrativa competente para su ejecución.</w:t>
      </w:r>
    </w:p>
    <w:p w14:paraId="024B82CA" w14:textId="77777777" w:rsid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Investigación de la Comisión: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El CEPCI turnará el caso a una Comisión (Subcomité) </w:t>
      </w:r>
    </w:p>
    <w:p w14:paraId="65A90A69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4C53D097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3A4E5749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7E6A6F44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0B70DF53" w14:textId="04341E51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5E7BAE84" w14:textId="67553D2E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4C18F171" w14:textId="73F34CD2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57D70D26" w14:textId="70204431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20E50064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1DFBFE3D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1F651640" w14:textId="4B3381E6" w:rsidR="00352859" w:rsidRP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conformada por sus miembros</w:t>
      </w:r>
      <w:r w:rsidR="00CF73A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electos/as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, la cual se encargará de realizar las diligencias de investigación, recopilación de pruebas, entrevistas a las partes y testigos (garantizando el derecho de audiencia y la imparcialidad).</w:t>
      </w:r>
    </w:p>
    <w:p w14:paraId="7D3C5018" w14:textId="5327BD0B" w:rsidR="00F33197" w:rsidRP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Mecanismos Alternativos: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Durante esta etapa, la </w:t>
      </w:r>
      <w:r w:rsidR="00CF73A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c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omisión también podrá sugerir y llevar </w:t>
      </w:r>
    </w:p>
    <w:p w14:paraId="041368A6" w14:textId="77B1DB70" w:rsidR="00352859" w:rsidRP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a cabo, si son pertinentes al caso y las partes están de acuerdo, procesos de mediación o conciliación.</w:t>
      </w:r>
    </w:p>
    <w:p w14:paraId="372C329A" w14:textId="5B1C2060" w:rsidR="00591D86" w:rsidRPr="00367125" w:rsidRDefault="00591D86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C264A54" w14:textId="2539C7BB" w:rsidR="00C328C9" w:rsidRPr="00370A46" w:rsidRDefault="00352859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10.4 Resolución</w:t>
      </w:r>
      <w:r w:rsidR="00C328C9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, sanciones y cierre</w:t>
      </w:r>
    </w:p>
    <w:p w14:paraId="7369482F" w14:textId="77777777" w:rsidR="00C328C9" w:rsidRPr="002A1326" w:rsidRDefault="00C328C9" w:rsidP="00367125">
      <w:pPr>
        <w:numPr>
          <w:ilvl w:val="0"/>
          <w:numId w:val="29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Dictamen del CEPCI: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El Comité deberá concluir la atención y emitir su dictamen sobre el caso en un plazo máximo de cuatro meses a partir de su registro, conforme al procedimiento establecido.</w:t>
      </w:r>
    </w:p>
    <w:p w14:paraId="29032737" w14:textId="77777777" w:rsidR="00C328C9" w:rsidRPr="002A1326" w:rsidRDefault="00C328C9" w:rsidP="00367125">
      <w:pPr>
        <w:numPr>
          <w:ilvl w:val="0"/>
          <w:numId w:val="29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Canalización al OIC: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Si el Comité determina la existencia de un probable incumplimiento al Código de Ética, a las Reglas de Integridad o al Código de Conducta, o por la gravedad del caso, el asunto será 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canalizado formalmente al Órgano Interno de Control (OIC)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del CIATEJ.</w:t>
      </w:r>
    </w:p>
    <w:p w14:paraId="7904316F" w14:textId="77777777" w:rsidR="00C328C9" w:rsidRPr="002A1326" w:rsidRDefault="00C328C9" w:rsidP="00367125">
      <w:pPr>
        <w:numPr>
          <w:ilvl w:val="0"/>
          <w:numId w:val="29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Fincamiento de Responsabilidades: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El OIC es la instancia competente para llevar a cabo el procedimiento de responsabilidad administrativa e imponer las sanciones correspondientes (amonestación, suspensión, destitución, etc.).</w:t>
      </w:r>
    </w:p>
    <w:p w14:paraId="30E961F7" w14:textId="77777777" w:rsidR="00C328C9" w:rsidRPr="002A1326" w:rsidRDefault="00C328C9" w:rsidP="00367125">
      <w:pPr>
        <w:numPr>
          <w:ilvl w:val="0"/>
          <w:numId w:val="29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Notificación Final: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Se notificará a las partes involucradas el dictamen del Comité y, en su caso, la resolución definitiva del OIC, dando por concluido el proceso formal de atención.</w:t>
      </w:r>
    </w:p>
    <w:p w14:paraId="3AD7D55A" w14:textId="77777777" w:rsidR="00F33197" w:rsidRPr="00367125" w:rsidRDefault="00F33197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2E6131A" w14:textId="3C44EA28" w:rsidR="00C328C9" w:rsidRPr="00370A46" w:rsidRDefault="00F33197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10.5 Seguimiento </w:t>
      </w:r>
    </w:p>
    <w:p w14:paraId="7CC0634E" w14:textId="53A33926" w:rsidR="00352859" w:rsidRPr="00370A46" w:rsidRDefault="00367125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Seguimiento de caso. </w:t>
      </w:r>
    </w:p>
    <w:p w14:paraId="37D446CA" w14:textId="77777777" w:rsidR="00367125" w:rsidRPr="00370A46" w:rsidRDefault="00367125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045938AF" w14:textId="17E52F26" w:rsidR="00330B3C" w:rsidRPr="00D008D2" w:rsidRDefault="00080124" w:rsidP="00330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  <w:r w:rsidR="00F33197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. Anexos</w:t>
      </w:r>
      <w:r w:rsidR="00C328C9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del Protocolo </w:t>
      </w:r>
      <w:hyperlink r:id="rId7" w:history="1">
        <w:r w:rsidR="00140E5E">
          <w:rPr>
            <w:rStyle w:val="Hipervnculo"/>
            <w:rFonts w:ascii="Century Gothic" w:hAnsi="Century Gothic"/>
            <w:sz w:val="24"/>
            <w:szCs w:val="24"/>
            <w:lang w:eastAsia="es-MX"/>
          </w:rPr>
          <w:t>ENBC-ASA</w:t>
        </w:r>
      </w:hyperlink>
    </w:p>
    <w:p w14:paraId="61D0B483" w14:textId="6DE03DEE" w:rsidR="00080124" w:rsidRPr="00370A46" w:rsidRDefault="00080124" w:rsidP="00330B3C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6079577D" w14:textId="4E4E8A7D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A Pronunciamiento Cero Tolerancia al Hostigamiento Sexual y Acoso Sexual </w:t>
      </w:r>
    </w:p>
    <w:p w14:paraId="2A1E477B" w14:textId="58D75849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B Procedimiento para Presentación de Denuncias ante el CEPCI del CIATEJ, 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>A.C.</w:t>
      </w:r>
      <w:r w:rsidR="007E35FC" w:rsidRPr="007E35FC">
        <w:t xml:space="preserve"> </w:t>
      </w:r>
      <w:hyperlink r:id="rId8" w:history="1">
        <w:r w:rsidR="007E35FC">
          <w:rPr>
            <w:rStyle w:val="Hipervnculo"/>
          </w:rPr>
          <w:t>Integri</w:t>
        </w:r>
        <w:r w:rsidR="007E35FC">
          <w:rPr>
            <w:rStyle w:val="Hipervnculo"/>
          </w:rPr>
          <w:t>dad Pública</w:t>
        </w:r>
      </w:hyperlink>
    </w:p>
    <w:p w14:paraId="13B8090E" w14:textId="68A31666" w:rsidR="00C328C9" w:rsidRPr="00370A46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color w:val="000000" w:themeColor="text1"/>
          <w:sz w:val="24"/>
          <w:szCs w:val="24"/>
        </w:rPr>
        <w:t xml:space="preserve">Anexo C </w:t>
      </w:r>
      <w:r w:rsidR="00370A46">
        <w:rPr>
          <w:rFonts w:ascii="Arial Narrow" w:hAnsi="Arial Narrow"/>
          <w:color w:val="000000" w:themeColor="text1"/>
          <w:sz w:val="24"/>
          <w:szCs w:val="24"/>
        </w:rPr>
        <w:t>Lineamiento de estudios de</w:t>
      </w:r>
      <w:r w:rsidRPr="00370A46">
        <w:rPr>
          <w:rFonts w:ascii="Arial Narrow" w:hAnsi="Arial Narrow"/>
          <w:color w:val="000000" w:themeColor="text1"/>
          <w:sz w:val="24"/>
          <w:szCs w:val="24"/>
        </w:rPr>
        <w:t xml:space="preserve"> posgrado </w:t>
      </w:r>
      <w:hyperlink r:id="rId9" w:history="1">
        <w:r w:rsidR="007E35FC">
          <w:rPr>
            <w:rStyle w:val="Hipervnculo"/>
          </w:rPr>
          <w:t>Nuestra Normatividad</w:t>
        </w:r>
      </w:hyperlink>
    </w:p>
    <w:p w14:paraId="7A2BE93A" w14:textId="64660989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D Formato atención quejas del departamento CCOPG </w:t>
      </w:r>
    </w:p>
    <w:p w14:paraId="2BB0B76A" w14:textId="691CC14F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Anexo E Certificación del CIATEJ en la NMX-R-025-SCFI-2015 en nivel plata</w:t>
      </w:r>
    </w:p>
    <w:p w14:paraId="0F30D9C1" w14:textId="208AE849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F Informe de certificación del CIATEJ en la NMX-R-025-SCFI-2015 subiendo a nivel Oro. </w:t>
      </w:r>
    </w:p>
    <w:p w14:paraId="30BC7036" w14:textId="77777777" w:rsidR="00E87451" w:rsidRPr="00367125" w:rsidRDefault="00E87451" w:rsidP="00367125">
      <w:pPr>
        <w:jc w:val="both"/>
        <w:rPr>
          <w:rFonts w:ascii="Arial Narrow" w:hAnsi="Arial Narrow"/>
          <w:noProof/>
          <w:color w:val="000000" w:themeColor="text1"/>
          <w:sz w:val="24"/>
          <w:szCs w:val="24"/>
        </w:rPr>
      </w:pPr>
    </w:p>
    <w:p w14:paraId="7CF09C08" w14:textId="4B63FF50" w:rsidR="00E87451" w:rsidRPr="00367125" w:rsidRDefault="00E87451" w:rsidP="00367125">
      <w:pPr>
        <w:jc w:val="both"/>
        <w:rPr>
          <w:rFonts w:ascii="Arial Narrow" w:hAnsi="Arial Narrow"/>
          <w:noProof/>
          <w:color w:val="000000" w:themeColor="text1"/>
          <w:sz w:val="24"/>
          <w:szCs w:val="24"/>
        </w:rPr>
      </w:pPr>
    </w:p>
    <w:p w14:paraId="67D7E501" w14:textId="69AE4314" w:rsidR="00C328C9" w:rsidRPr="00367125" w:rsidRDefault="00C328C9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bookmarkStart w:id="0" w:name="_GoBack"/>
      <w:bookmarkEnd w:id="0"/>
    </w:p>
    <w:p w14:paraId="05220315" w14:textId="7F45806D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sectPr w:rsidR="00080124" w:rsidRPr="0036712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55D87" w14:textId="77777777" w:rsidR="006E5AFC" w:rsidRDefault="006E5AFC" w:rsidP="00E456E0">
      <w:pPr>
        <w:spacing w:after="0" w:line="240" w:lineRule="auto"/>
      </w:pPr>
      <w:r>
        <w:separator/>
      </w:r>
    </w:p>
  </w:endnote>
  <w:endnote w:type="continuationSeparator" w:id="0">
    <w:p w14:paraId="601F424A" w14:textId="77777777" w:rsidR="006E5AFC" w:rsidRDefault="006E5AFC" w:rsidP="00E4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C0903" w14:textId="77777777" w:rsidR="006E5AFC" w:rsidRDefault="006E5AFC" w:rsidP="00E456E0">
      <w:pPr>
        <w:spacing w:after="0" w:line="240" w:lineRule="auto"/>
      </w:pPr>
      <w:r>
        <w:separator/>
      </w:r>
    </w:p>
  </w:footnote>
  <w:footnote w:type="continuationSeparator" w:id="0">
    <w:p w14:paraId="6B84D843" w14:textId="77777777" w:rsidR="006E5AFC" w:rsidRDefault="006E5AFC" w:rsidP="00E45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A7F82" w14:textId="3C6E649E" w:rsidR="00E456E0" w:rsidRDefault="00E456E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16CD26" wp14:editId="77E0D0ED">
          <wp:simplePos x="0" y="0"/>
          <wp:positionH relativeFrom="column">
            <wp:posOffset>-1057275</wp:posOffset>
          </wp:positionH>
          <wp:positionV relativeFrom="paragraph">
            <wp:posOffset>-448310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49B3"/>
    <w:multiLevelType w:val="multilevel"/>
    <w:tmpl w:val="486E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46AC4"/>
    <w:multiLevelType w:val="hybridMultilevel"/>
    <w:tmpl w:val="39F277BA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61C06"/>
    <w:multiLevelType w:val="multilevel"/>
    <w:tmpl w:val="CEAA0B4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D7E44"/>
    <w:multiLevelType w:val="multilevel"/>
    <w:tmpl w:val="B114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92EFC"/>
    <w:multiLevelType w:val="hybridMultilevel"/>
    <w:tmpl w:val="41D2A648"/>
    <w:lvl w:ilvl="0" w:tplc="3EDE5FAA">
      <w:numFmt w:val="bullet"/>
      <w:lvlText w:val="•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F3505D"/>
    <w:multiLevelType w:val="multilevel"/>
    <w:tmpl w:val="90D6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FB42D2"/>
    <w:multiLevelType w:val="multilevel"/>
    <w:tmpl w:val="6A0A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61059C"/>
    <w:multiLevelType w:val="multilevel"/>
    <w:tmpl w:val="D382AB6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D0426E"/>
    <w:multiLevelType w:val="hybridMultilevel"/>
    <w:tmpl w:val="5D1C7A80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B67A8"/>
    <w:multiLevelType w:val="multilevel"/>
    <w:tmpl w:val="ED8E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A4D50"/>
    <w:multiLevelType w:val="hybridMultilevel"/>
    <w:tmpl w:val="7F24F9FE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670CB"/>
    <w:multiLevelType w:val="hybridMultilevel"/>
    <w:tmpl w:val="4396557C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E09A3"/>
    <w:multiLevelType w:val="hybridMultilevel"/>
    <w:tmpl w:val="D73A5350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474B7"/>
    <w:multiLevelType w:val="multilevel"/>
    <w:tmpl w:val="C7F4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D64FD"/>
    <w:multiLevelType w:val="multilevel"/>
    <w:tmpl w:val="381E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C3F69"/>
    <w:multiLevelType w:val="multilevel"/>
    <w:tmpl w:val="9F02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827FE1"/>
    <w:multiLevelType w:val="multilevel"/>
    <w:tmpl w:val="6E40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B4153A"/>
    <w:multiLevelType w:val="hybridMultilevel"/>
    <w:tmpl w:val="115E9DE8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B4D74"/>
    <w:multiLevelType w:val="hybridMultilevel"/>
    <w:tmpl w:val="2A86DEDC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C1DF8"/>
    <w:multiLevelType w:val="hybridMultilevel"/>
    <w:tmpl w:val="EA2A0108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138B4"/>
    <w:multiLevelType w:val="multilevel"/>
    <w:tmpl w:val="3ABC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0952E8"/>
    <w:multiLevelType w:val="multilevel"/>
    <w:tmpl w:val="B6D8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6210B7"/>
    <w:multiLevelType w:val="multilevel"/>
    <w:tmpl w:val="CEAA0B4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FE7F33"/>
    <w:multiLevelType w:val="multilevel"/>
    <w:tmpl w:val="4306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8D2B1E"/>
    <w:multiLevelType w:val="multilevel"/>
    <w:tmpl w:val="A08E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BE2F45"/>
    <w:multiLevelType w:val="hybridMultilevel"/>
    <w:tmpl w:val="443AB45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357C4"/>
    <w:multiLevelType w:val="multilevel"/>
    <w:tmpl w:val="8F760E6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E3A5B64"/>
    <w:multiLevelType w:val="multilevel"/>
    <w:tmpl w:val="A02E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5B1E86"/>
    <w:multiLevelType w:val="hybridMultilevel"/>
    <w:tmpl w:val="7994ADCA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A4026"/>
    <w:multiLevelType w:val="multilevel"/>
    <w:tmpl w:val="5E22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A11D70"/>
    <w:multiLevelType w:val="multilevel"/>
    <w:tmpl w:val="05DC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2271C"/>
    <w:multiLevelType w:val="multilevel"/>
    <w:tmpl w:val="3D4C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331012"/>
    <w:multiLevelType w:val="hybridMultilevel"/>
    <w:tmpl w:val="47CE1850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01AA2"/>
    <w:multiLevelType w:val="multilevel"/>
    <w:tmpl w:val="CD3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863876"/>
    <w:multiLevelType w:val="hybridMultilevel"/>
    <w:tmpl w:val="65C48D9A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907F4"/>
    <w:multiLevelType w:val="hybridMultilevel"/>
    <w:tmpl w:val="95345934"/>
    <w:lvl w:ilvl="0" w:tplc="3EDE5FAA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B336A"/>
    <w:multiLevelType w:val="hybridMultilevel"/>
    <w:tmpl w:val="4A0AB4C8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4"/>
  </w:num>
  <w:num w:numId="4">
    <w:abstractNumId w:val="21"/>
  </w:num>
  <w:num w:numId="5">
    <w:abstractNumId w:val="23"/>
  </w:num>
  <w:num w:numId="6">
    <w:abstractNumId w:val="3"/>
  </w:num>
  <w:num w:numId="7">
    <w:abstractNumId w:val="6"/>
  </w:num>
  <w:num w:numId="8">
    <w:abstractNumId w:val="5"/>
  </w:num>
  <w:num w:numId="9">
    <w:abstractNumId w:val="31"/>
  </w:num>
  <w:num w:numId="10">
    <w:abstractNumId w:val="0"/>
  </w:num>
  <w:num w:numId="11">
    <w:abstractNumId w:val="33"/>
  </w:num>
  <w:num w:numId="12">
    <w:abstractNumId w:val="29"/>
  </w:num>
  <w:num w:numId="13">
    <w:abstractNumId w:val="30"/>
  </w:num>
  <w:num w:numId="14">
    <w:abstractNumId w:val="16"/>
  </w:num>
  <w:num w:numId="15">
    <w:abstractNumId w:val="14"/>
  </w:num>
  <w:num w:numId="16">
    <w:abstractNumId w:val="27"/>
  </w:num>
  <w:num w:numId="17">
    <w:abstractNumId w:val="25"/>
  </w:num>
  <w:num w:numId="18">
    <w:abstractNumId w:val="10"/>
  </w:num>
  <w:num w:numId="19">
    <w:abstractNumId w:val="1"/>
  </w:num>
  <w:num w:numId="20">
    <w:abstractNumId w:val="8"/>
  </w:num>
  <w:num w:numId="21">
    <w:abstractNumId w:val="34"/>
  </w:num>
  <w:num w:numId="22">
    <w:abstractNumId w:val="18"/>
  </w:num>
  <w:num w:numId="23">
    <w:abstractNumId w:val="28"/>
  </w:num>
  <w:num w:numId="24">
    <w:abstractNumId w:val="19"/>
  </w:num>
  <w:num w:numId="25">
    <w:abstractNumId w:val="32"/>
  </w:num>
  <w:num w:numId="26">
    <w:abstractNumId w:val="13"/>
  </w:num>
  <w:num w:numId="27">
    <w:abstractNumId w:val="17"/>
  </w:num>
  <w:num w:numId="28">
    <w:abstractNumId w:val="20"/>
  </w:num>
  <w:num w:numId="29">
    <w:abstractNumId w:val="2"/>
  </w:num>
  <w:num w:numId="30">
    <w:abstractNumId w:val="22"/>
  </w:num>
  <w:num w:numId="31">
    <w:abstractNumId w:val="35"/>
  </w:num>
  <w:num w:numId="32">
    <w:abstractNumId w:val="12"/>
  </w:num>
  <w:num w:numId="33">
    <w:abstractNumId w:val="7"/>
  </w:num>
  <w:num w:numId="34">
    <w:abstractNumId w:val="4"/>
  </w:num>
  <w:num w:numId="35">
    <w:abstractNumId w:val="36"/>
  </w:num>
  <w:num w:numId="36">
    <w:abstractNumId w:val="1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E0"/>
    <w:rsid w:val="00080124"/>
    <w:rsid w:val="000E65F2"/>
    <w:rsid w:val="00140E5E"/>
    <w:rsid w:val="00330B3C"/>
    <w:rsid w:val="00352859"/>
    <w:rsid w:val="00367125"/>
    <w:rsid w:val="00370A46"/>
    <w:rsid w:val="004F64A5"/>
    <w:rsid w:val="00591D86"/>
    <w:rsid w:val="00665A6F"/>
    <w:rsid w:val="00684ECB"/>
    <w:rsid w:val="00690071"/>
    <w:rsid w:val="006E5AFC"/>
    <w:rsid w:val="00770433"/>
    <w:rsid w:val="007E35FC"/>
    <w:rsid w:val="00C328C9"/>
    <w:rsid w:val="00CF73A1"/>
    <w:rsid w:val="00DA1532"/>
    <w:rsid w:val="00E456E0"/>
    <w:rsid w:val="00E87451"/>
    <w:rsid w:val="00ED6A55"/>
    <w:rsid w:val="00F33197"/>
    <w:rsid w:val="00FA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641516"/>
  <w15:chartTrackingRefBased/>
  <w15:docId w15:val="{E59D5994-E458-44CB-AD36-DEB56F65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6E0"/>
  </w:style>
  <w:style w:type="paragraph" w:styleId="Piedepgina">
    <w:name w:val="footer"/>
    <w:basedOn w:val="Normal"/>
    <w:link w:val="PiedepginaCar"/>
    <w:uiPriority w:val="99"/>
    <w:unhideWhenUsed/>
    <w:rsid w:val="00E45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6E0"/>
  </w:style>
  <w:style w:type="paragraph" w:styleId="Prrafodelista">
    <w:name w:val="List Paragraph"/>
    <w:basedOn w:val="Normal"/>
    <w:uiPriority w:val="34"/>
    <w:qFormat/>
    <w:rsid w:val="0077043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70A4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0E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atej.mx/el-ciatej/integridad-publi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atej.mx/comprobantes/ENBC-AS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iatej.mx/estudia-ciatej/posgrados/normativid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1374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Igualdad</dc:creator>
  <cp:keywords/>
  <dc:description/>
  <cp:lastModifiedBy>Apoyo Posgrado</cp:lastModifiedBy>
  <cp:revision>4</cp:revision>
  <dcterms:created xsi:type="dcterms:W3CDTF">2025-11-06T18:29:00Z</dcterms:created>
  <dcterms:modified xsi:type="dcterms:W3CDTF">2025-11-10T22:30:00Z</dcterms:modified>
</cp:coreProperties>
</file>