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D49F1" w14:textId="00A4822B" w:rsidR="0018431C" w:rsidRPr="0018431C" w:rsidRDefault="0018431C" w:rsidP="0018431C">
      <w:pPr>
        <w:jc w:val="center"/>
        <w:rPr>
          <w:rFonts w:ascii="Quicksand" w:eastAsia="Quicksand" w:hAnsi="Quicksand" w:cs="Quicksand"/>
          <w:b/>
          <w:bCs/>
          <w:sz w:val="26"/>
          <w:szCs w:val="26"/>
        </w:rPr>
      </w:pPr>
      <w:r w:rsidRPr="0018431C">
        <w:rPr>
          <w:rFonts w:ascii="Quicksand" w:eastAsia="Quicksand" w:hAnsi="Quicksand" w:cs="Quicksand"/>
          <w:b/>
          <w:bCs/>
          <w:sz w:val="26"/>
          <w:szCs w:val="26"/>
        </w:rPr>
        <w:t>INFRAESTRUCTURA DE APRENDIZAJE DE LA ESPECIALIDAD NACIONAL PARA EL BIENESTAR COMUNITARIO EN AGROECOLOGÍAS Y SOBERANÍA ALIMENTARIA</w:t>
      </w:r>
    </w:p>
    <w:p w14:paraId="5E9946B8" w14:textId="623F5B3A" w:rsidR="0018431C" w:rsidRPr="0018431C" w:rsidRDefault="0018431C" w:rsidP="0018431C">
      <w:pPr>
        <w:pStyle w:val="Prrafodelista"/>
        <w:numPr>
          <w:ilvl w:val="0"/>
          <w:numId w:val="20"/>
        </w:numPr>
        <w:jc w:val="both"/>
        <w:rPr>
          <w:rFonts w:ascii="Nirmala UI" w:eastAsia="Quicksand" w:hAnsi="Nirmala UI" w:cs="Nirmala UI"/>
          <w:b/>
          <w:bCs/>
        </w:rPr>
      </w:pPr>
      <w:proofErr w:type="spellStart"/>
      <w:r w:rsidRPr="0018431C">
        <w:rPr>
          <w:rFonts w:ascii="Nirmala UI" w:eastAsia="Quicksand" w:hAnsi="Nirmala UI" w:cs="Nirmala UI"/>
          <w:b/>
          <w:bCs/>
          <w:sz w:val="22"/>
          <w:szCs w:val="22"/>
        </w:rPr>
        <w:t>Contexto</w:t>
      </w:r>
      <w:proofErr w:type="spellEnd"/>
    </w:p>
    <w:p w14:paraId="393AE5EC" w14:textId="204FE77A" w:rsidR="0018431C" w:rsidRPr="0018431C" w:rsidRDefault="0018431C" w:rsidP="0018431C">
      <w:pPr>
        <w:jc w:val="both"/>
        <w:rPr>
          <w:rFonts w:ascii="Century Gothic" w:eastAsiaTheme="minorHAnsi" w:hAnsi="Century Gothic"/>
          <w:color w:val="1F497D"/>
          <w:lang w:val="es-MX" w:eastAsia="es-MX"/>
        </w:rPr>
      </w:pPr>
      <w:r>
        <w:rPr>
          <w:rFonts w:ascii="Nirmala UI" w:eastAsia="Quicksand" w:hAnsi="Nirmala UI" w:cs="Nirmala UI"/>
          <w:sz w:val="22"/>
          <w:szCs w:val="22"/>
        </w:rPr>
        <w:t>Además de la infraestructura física con a que cuenta el CIATEJ (</w:t>
      </w:r>
      <w:hyperlink r:id="rId7" w:history="1">
        <w:r>
          <w:rPr>
            <w:rStyle w:val="Hipervnculo"/>
            <w:rFonts w:ascii="Century Gothic" w:hAnsi="Century Gothic"/>
            <w:lang w:eastAsia="es-MX"/>
          </w:rPr>
          <w:t>ENBC-ASA</w:t>
        </w:r>
      </w:hyperlink>
      <w:r>
        <w:rPr>
          <w:rFonts w:ascii="Century Gothic" w:eastAsiaTheme="minorHAnsi" w:hAnsi="Century Gothic"/>
          <w:color w:val="1F497D"/>
          <w:lang w:val="es-MX" w:eastAsia="es-MX"/>
        </w:rPr>
        <w:t>)</w:t>
      </w:r>
      <w:r>
        <w:rPr>
          <w:rFonts w:ascii="Nirmala UI" w:eastAsia="Quicksand" w:hAnsi="Nirmala UI" w:cs="Nirmala UI"/>
          <w:sz w:val="22"/>
          <w:szCs w:val="22"/>
        </w:rPr>
        <w:t>, en l</w:t>
      </w:r>
      <w:r w:rsidRPr="0018431C">
        <w:rPr>
          <w:rFonts w:ascii="Nirmala UI" w:eastAsia="Quicksand" w:hAnsi="Nirmala UI" w:cs="Nirmala UI"/>
          <w:sz w:val="22"/>
          <w:szCs w:val="22"/>
        </w:rPr>
        <w:t>a Especialidad Nacional para el Bienestar Comunitario en Agroecologías y Soberanía Alimentaria (ENBC-ASA) constituye un modelo educativo de modalidad mixta o híbrida, que combina componentes virtuales y presenciales para favorecer una formación integral, situada y vinculada a los territorios. Esta modalidad está diseñada para que los y las estudiantes empleen la mayor parte de su tiempo en estructurar e implementar proyectos desde y con las comunidades, a la vez que planean encuentros presenciales que se destinan a la presentación de avances, talleres, análisis de casos y abordaje de temáticas específicas.</w:t>
      </w:r>
    </w:p>
    <w:p w14:paraId="239369D9" w14:textId="77777777" w:rsidR="0018431C" w:rsidRPr="0018431C" w:rsidRDefault="0018431C" w:rsidP="0018431C">
      <w:pPr>
        <w:jc w:val="both"/>
        <w:rPr>
          <w:rFonts w:ascii="Nirmala UI" w:eastAsia="Quicksand" w:hAnsi="Nirmala UI" w:cs="Nirmala UI"/>
          <w:sz w:val="22"/>
          <w:szCs w:val="22"/>
        </w:rPr>
      </w:pPr>
    </w:p>
    <w:p w14:paraId="69507EE0" w14:textId="77777777" w:rsidR="0018431C" w:rsidRPr="0018431C" w:rsidRDefault="0018431C" w:rsidP="0018431C">
      <w:pPr>
        <w:jc w:val="both"/>
        <w:rPr>
          <w:rFonts w:ascii="Nirmala UI" w:eastAsia="Quicksand" w:hAnsi="Nirmala UI" w:cs="Nirmala UI"/>
          <w:sz w:val="22"/>
          <w:szCs w:val="22"/>
        </w:rPr>
      </w:pPr>
      <w:r w:rsidRPr="0018431C">
        <w:rPr>
          <w:rFonts w:ascii="Nirmala UI" w:eastAsia="Quicksand" w:hAnsi="Nirmala UI" w:cs="Nirmala UI"/>
          <w:sz w:val="22"/>
          <w:szCs w:val="22"/>
        </w:rPr>
        <w:t xml:space="preserve">De esta manera, </w:t>
      </w:r>
      <w:r w:rsidRPr="0018431C">
        <w:rPr>
          <w:rFonts w:ascii="Nirmala UI" w:eastAsia="Quicksand" w:hAnsi="Nirmala UI" w:cs="Nirmala UI"/>
          <w:b/>
          <w:bCs/>
          <w:sz w:val="22"/>
          <w:szCs w:val="22"/>
        </w:rPr>
        <w:t>los cursos de la especialidad se desarrollan de forma interdisciplinaria y multidisciplinaria, articulando sesiones en línea, actividades asincrónicas y experiencias de aprendizaje en campo</w:t>
      </w:r>
      <w:r w:rsidRPr="0018431C">
        <w:rPr>
          <w:rFonts w:ascii="Nirmala UI" w:eastAsia="Quicksand" w:hAnsi="Nirmala UI" w:cs="Nirmala UI"/>
          <w:sz w:val="22"/>
          <w:szCs w:val="22"/>
        </w:rPr>
        <w:t>. Este carácter mixto (virtual y presencial) permite que la ENBC-ASA mantenga presencia en 18 estados de la república y una base interinstitucional de docentes, con posibilidad de seguir extendiéndose, garantizando que las metodologías y saberes no se construyan de manera aislada, sino que se vivan en contexto, vinculadas a los problemas reales que los y las participantes enfrentan en y con sus territorios.</w:t>
      </w:r>
    </w:p>
    <w:p w14:paraId="5020376F" w14:textId="77777777" w:rsidR="0018431C" w:rsidRPr="0018431C" w:rsidRDefault="0018431C" w:rsidP="0018431C">
      <w:pPr>
        <w:jc w:val="both"/>
        <w:rPr>
          <w:rFonts w:ascii="Nirmala UI" w:eastAsia="Quicksand" w:hAnsi="Nirmala UI" w:cs="Nirmala UI"/>
          <w:sz w:val="22"/>
          <w:szCs w:val="22"/>
        </w:rPr>
      </w:pPr>
    </w:p>
    <w:p w14:paraId="43542A81" w14:textId="74A88316" w:rsidR="0018431C" w:rsidRDefault="0018431C" w:rsidP="0018431C">
      <w:pPr>
        <w:jc w:val="both"/>
        <w:rPr>
          <w:rFonts w:ascii="Nirmala UI" w:eastAsia="Quicksand" w:hAnsi="Nirmala UI" w:cs="Nirmala UI"/>
          <w:sz w:val="22"/>
          <w:szCs w:val="22"/>
        </w:rPr>
      </w:pPr>
      <w:r w:rsidRPr="0018431C">
        <w:rPr>
          <w:rFonts w:ascii="Nirmala UI" w:eastAsia="Quicksand" w:hAnsi="Nirmala UI" w:cs="Nirmala UI"/>
          <w:sz w:val="22"/>
          <w:szCs w:val="22"/>
        </w:rPr>
        <w:t>Por todo ello, la opción más conveniente y certera fue adoptar un ecosistema virtual de aprendizaje que actúa como centro académico y espacio de convivencia comunitaria. Este entorno permite organizar, gestionar y acompañar los procesos formativos de manera articulada entre regiones, facilitando la interacción continua entre estudiantes, docentes y comunidades, y asegurando la coherencia pedagógica del modelo educativo en todos sus niveles.</w:t>
      </w:r>
    </w:p>
    <w:p w14:paraId="7FB9E9C9" w14:textId="77777777" w:rsidR="0018431C" w:rsidRPr="0018431C" w:rsidRDefault="0018431C" w:rsidP="0018431C">
      <w:pPr>
        <w:jc w:val="both"/>
        <w:rPr>
          <w:rFonts w:ascii="Nirmala UI" w:eastAsia="Quicksand" w:hAnsi="Nirmala UI" w:cs="Nirmala UI"/>
          <w:sz w:val="22"/>
          <w:szCs w:val="22"/>
        </w:rPr>
      </w:pPr>
    </w:p>
    <w:p w14:paraId="12D79A29" w14:textId="2CB5FFFF" w:rsidR="0018431C" w:rsidRPr="0018431C" w:rsidRDefault="0018431C" w:rsidP="0018431C">
      <w:pPr>
        <w:pStyle w:val="Prrafodelista"/>
        <w:numPr>
          <w:ilvl w:val="0"/>
          <w:numId w:val="20"/>
        </w:numPr>
        <w:jc w:val="both"/>
        <w:rPr>
          <w:rFonts w:ascii="Nirmala UI" w:eastAsia="Quicksand" w:hAnsi="Nirmala UI" w:cs="Nirmala UI"/>
          <w:b/>
          <w:bCs/>
          <w:sz w:val="22"/>
          <w:szCs w:val="22"/>
        </w:rPr>
      </w:pPr>
      <w:proofErr w:type="spellStart"/>
      <w:r w:rsidRPr="0018431C">
        <w:rPr>
          <w:rFonts w:ascii="Nirmala UI" w:eastAsia="Quicksand" w:hAnsi="Nirmala UI" w:cs="Nirmala UI"/>
          <w:b/>
          <w:bCs/>
          <w:sz w:val="22"/>
          <w:szCs w:val="22"/>
        </w:rPr>
        <w:t>Descripción</w:t>
      </w:r>
      <w:proofErr w:type="spellEnd"/>
      <w:r w:rsidRPr="0018431C">
        <w:rPr>
          <w:rFonts w:ascii="Nirmala UI" w:eastAsia="Quicksand" w:hAnsi="Nirmala UI" w:cs="Nirmala UI"/>
          <w:b/>
          <w:bCs/>
          <w:sz w:val="22"/>
          <w:szCs w:val="22"/>
        </w:rPr>
        <w:t xml:space="preserve"> de la </w:t>
      </w:r>
      <w:proofErr w:type="spellStart"/>
      <w:r w:rsidRPr="0018431C">
        <w:rPr>
          <w:rFonts w:ascii="Nirmala UI" w:eastAsia="Quicksand" w:hAnsi="Nirmala UI" w:cs="Nirmala UI"/>
          <w:b/>
          <w:bCs/>
          <w:sz w:val="22"/>
          <w:szCs w:val="22"/>
        </w:rPr>
        <w:t>infraestructura</w:t>
      </w:r>
      <w:proofErr w:type="spellEnd"/>
    </w:p>
    <w:p w14:paraId="1C59408A" w14:textId="1679D758" w:rsidR="0018431C" w:rsidRPr="0018431C" w:rsidRDefault="0018431C" w:rsidP="0018431C">
      <w:pPr>
        <w:jc w:val="both"/>
        <w:rPr>
          <w:rFonts w:ascii="Nirmala UI" w:eastAsia="Quicksand" w:hAnsi="Nirmala UI" w:cs="Nirmala UI"/>
          <w:sz w:val="22"/>
          <w:szCs w:val="22"/>
        </w:rPr>
      </w:pPr>
      <w:r w:rsidRPr="0018431C">
        <w:rPr>
          <w:rFonts w:ascii="Nirmala UI" w:eastAsia="Quicksand" w:hAnsi="Nirmala UI" w:cs="Nirmala UI"/>
          <w:b/>
          <w:bCs/>
          <w:sz w:val="22"/>
          <w:szCs w:val="22"/>
        </w:rPr>
        <w:t>Los cursos formativos de la ENBC-ASA</w:t>
      </w:r>
      <w:r w:rsidRPr="0018431C">
        <w:rPr>
          <w:rFonts w:ascii="Nirmala UI" w:eastAsia="Quicksand" w:hAnsi="Nirmala UI" w:cs="Nirmala UI"/>
          <w:b/>
          <w:bCs/>
        </w:rPr>
        <w:t xml:space="preserve"> </w:t>
      </w:r>
      <w:r w:rsidRPr="0018431C">
        <w:rPr>
          <w:rFonts w:ascii="Nirmala UI" w:eastAsia="Quicksand" w:hAnsi="Nirmala UI" w:cs="Nirmala UI"/>
          <w:b/>
          <w:bCs/>
          <w:sz w:val="22"/>
          <w:szCs w:val="22"/>
        </w:rPr>
        <w:t>están albergados en un Sistema de Gestión del Aprendizaje o LMS</w:t>
      </w:r>
      <w:r w:rsidRPr="0018431C">
        <w:rPr>
          <w:rFonts w:ascii="Nirmala UI" w:eastAsia="Quicksand" w:hAnsi="Nirmala UI" w:cs="Nirmala UI"/>
          <w:sz w:val="22"/>
          <w:szCs w:val="22"/>
        </w:rPr>
        <w:t>, por sus siglas en inglés (</w:t>
      </w:r>
      <w:proofErr w:type="spellStart"/>
      <w:r w:rsidRPr="0018431C">
        <w:rPr>
          <w:rFonts w:ascii="Nirmala UI" w:eastAsia="Quicksand" w:hAnsi="Nirmala UI" w:cs="Nirmala UI"/>
          <w:sz w:val="22"/>
          <w:szCs w:val="22"/>
        </w:rPr>
        <w:t>Learning</w:t>
      </w:r>
      <w:proofErr w:type="spellEnd"/>
      <w:r w:rsidRPr="0018431C">
        <w:rPr>
          <w:rFonts w:ascii="Nirmala UI" w:eastAsia="Quicksand" w:hAnsi="Nirmala UI" w:cs="Nirmala UI"/>
          <w:sz w:val="22"/>
          <w:szCs w:val="22"/>
        </w:rPr>
        <w:t xml:space="preserve"> Management System). Un LMS es un software que permite crear, administrar, distribuir y evaluar cursos y programas educativos en línea, permitiendo la interacción entre docentes, estudiantes y contenidos de manera organizada y trazable.</w:t>
      </w:r>
    </w:p>
    <w:p w14:paraId="50F22FDC" w14:textId="5B470111" w:rsidR="0018431C" w:rsidRPr="0018431C" w:rsidRDefault="0018431C" w:rsidP="0018431C">
      <w:pPr>
        <w:jc w:val="both"/>
        <w:rPr>
          <w:rFonts w:ascii="Nirmala UI" w:eastAsia="Quicksand" w:hAnsi="Nirmala UI" w:cs="Nirmala UI"/>
          <w:sz w:val="22"/>
          <w:szCs w:val="22"/>
        </w:rPr>
      </w:pPr>
      <w:r w:rsidRPr="0018431C">
        <w:rPr>
          <w:rFonts w:ascii="Nirmala UI" w:eastAsia="Quicksand" w:hAnsi="Nirmala UI" w:cs="Nirmala UI"/>
          <w:sz w:val="22"/>
          <w:szCs w:val="22"/>
        </w:rPr>
        <w:t xml:space="preserve">De esta manera tanto el trabajo síncrono como asíncrono, así como los ingresos y movimientos que se realicen dentro del sistema, quedan registrados. </w:t>
      </w:r>
    </w:p>
    <w:p w14:paraId="0577A596" w14:textId="48B4CD97" w:rsidR="0018431C" w:rsidRPr="0018431C" w:rsidRDefault="0018431C" w:rsidP="0018431C">
      <w:pPr>
        <w:jc w:val="both"/>
        <w:rPr>
          <w:rFonts w:ascii="Nirmala UI" w:eastAsia="Quicksand" w:hAnsi="Nirmala UI" w:cs="Nirmala UI"/>
          <w:sz w:val="22"/>
          <w:szCs w:val="22"/>
        </w:rPr>
      </w:pPr>
      <w:r w:rsidRPr="0018431C">
        <w:rPr>
          <w:rFonts w:ascii="Nirmala UI" w:eastAsia="Quicksand" w:hAnsi="Nirmala UI" w:cs="Nirmala UI"/>
          <w:sz w:val="22"/>
          <w:szCs w:val="22"/>
        </w:rPr>
        <w:t xml:space="preserve">De todas las opciones de LMS disponibles, el CONAHCYT y ahora la SECIHTI, decidieron que </w:t>
      </w:r>
      <w:r w:rsidRPr="0018431C">
        <w:rPr>
          <w:rFonts w:ascii="Nirmala UI" w:eastAsia="Quicksand" w:hAnsi="Nirmala UI" w:cs="Nirmala UI"/>
          <w:b/>
          <w:bCs/>
          <w:sz w:val="22"/>
          <w:szCs w:val="22"/>
        </w:rPr>
        <w:t>la gestión académica y la operación de sus cursos</w:t>
      </w:r>
      <w:r w:rsidRPr="0018431C">
        <w:rPr>
          <w:rFonts w:ascii="Nirmala UI" w:eastAsia="Quicksand" w:hAnsi="Nirmala UI" w:cs="Nirmala UI"/>
          <w:sz w:val="22"/>
          <w:szCs w:val="22"/>
        </w:rPr>
        <w:t xml:space="preserve">, posgrados y demás certificaciones, fueran albergadas en </w:t>
      </w:r>
      <w:r w:rsidRPr="0018431C">
        <w:rPr>
          <w:rFonts w:ascii="Nirmala UI" w:eastAsia="Quicksand" w:hAnsi="Nirmala UI" w:cs="Nirmala UI"/>
          <w:b/>
          <w:bCs/>
          <w:i/>
          <w:iCs/>
          <w:sz w:val="22"/>
          <w:szCs w:val="22"/>
        </w:rPr>
        <w:t>Moodle</w:t>
      </w:r>
      <w:r w:rsidRPr="0018431C">
        <w:rPr>
          <w:rFonts w:ascii="Nirmala UI" w:eastAsia="Quicksand" w:hAnsi="Nirmala UI" w:cs="Nirmala UI"/>
          <w:sz w:val="22"/>
          <w:szCs w:val="22"/>
        </w:rPr>
        <w:t xml:space="preserve">, un Sistema de Gestión del Aprendizaje de código abierto que posee un entorno modular y personalizable, que se adapta a distintas estrategias pedagógicas y metodológicas. </w:t>
      </w:r>
    </w:p>
    <w:p w14:paraId="692F8FDC" w14:textId="65083AA9" w:rsidR="0018431C" w:rsidRPr="0018431C" w:rsidRDefault="0018431C" w:rsidP="0018431C">
      <w:pPr>
        <w:pStyle w:val="Prrafodelista"/>
        <w:numPr>
          <w:ilvl w:val="0"/>
          <w:numId w:val="20"/>
        </w:numPr>
        <w:jc w:val="both"/>
        <w:rPr>
          <w:rFonts w:ascii="Nirmala UI" w:eastAsia="Quicksand" w:hAnsi="Nirmala UI" w:cs="Nirmala UI"/>
          <w:b/>
          <w:bCs/>
          <w:i/>
          <w:iCs/>
          <w:sz w:val="22"/>
          <w:szCs w:val="22"/>
        </w:rPr>
      </w:pPr>
      <w:proofErr w:type="spellStart"/>
      <w:r w:rsidRPr="0018431C">
        <w:rPr>
          <w:rFonts w:ascii="Nirmala UI" w:eastAsia="Quicksand" w:hAnsi="Nirmala UI" w:cs="Nirmala UI"/>
          <w:b/>
          <w:bCs/>
          <w:sz w:val="22"/>
          <w:szCs w:val="22"/>
        </w:rPr>
        <w:lastRenderedPageBreak/>
        <w:t>Diseño</w:t>
      </w:r>
      <w:proofErr w:type="spellEnd"/>
      <w:r w:rsidRPr="0018431C">
        <w:rPr>
          <w:rFonts w:ascii="Nirmala UI" w:eastAsia="Quicksand" w:hAnsi="Nirmala UI" w:cs="Nirmala UI"/>
          <w:b/>
          <w:bCs/>
          <w:sz w:val="22"/>
          <w:szCs w:val="22"/>
        </w:rPr>
        <w:t xml:space="preserve"> y operación de un </w:t>
      </w:r>
      <w:proofErr w:type="spellStart"/>
      <w:r w:rsidRPr="0018431C">
        <w:rPr>
          <w:rFonts w:ascii="Nirmala UI" w:eastAsia="Quicksand" w:hAnsi="Nirmala UI" w:cs="Nirmala UI"/>
          <w:b/>
          <w:bCs/>
          <w:sz w:val="22"/>
          <w:szCs w:val="22"/>
        </w:rPr>
        <w:t>curso</w:t>
      </w:r>
      <w:proofErr w:type="spellEnd"/>
      <w:r w:rsidRPr="0018431C">
        <w:rPr>
          <w:rFonts w:ascii="Nirmala UI" w:eastAsia="Quicksand" w:hAnsi="Nirmala UI" w:cs="Nirmala UI"/>
          <w:b/>
          <w:bCs/>
          <w:sz w:val="22"/>
          <w:szCs w:val="22"/>
        </w:rPr>
        <w:t xml:space="preserve"> </w:t>
      </w:r>
      <w:proofErr w:type="spellStart"/>
      <w:r w:rsidRPr="0018431C">
        <w:rPr>
          <w:rFonts w:ascii="Nirmala UI" w:eastAsia="Quicksand" w:hAnsi="Nirmala UI" w:cs="Nirmala UI"/>
          <w:b/>
          <w:bCs/>
          <w:sz w:val="22"/>
          <w:szCs w:val="22"/>
        </w:rPr>
        <w:t>en</w:t>
      </w:r>
      <w:proofErr w:type="spellEnd"/>
      <w:r w:rsidRPr="0018431C">
        <w:rPr>
          <w:rFonts w:ascii="Nirmala UI" w:eastAsia="Quicksand" w:hAnsi="Nirmala UI" w:cs="Nirmala UI"/>
          <w:b/>
          <w:bCs/>
          <w:sz w:val="22"/>
          <w:szCs w:val="22"/>
        </w:rPr>
        <w:t xml:space="preserve"> </w:t>
      </w:r>
      <w:r w:rsidRPr="0018431C">
        <w:rPr>
          <w:rFonts w:ascii="Nirmala UI" w:eastAsia="Quicksand" w:hAnsi="Nirmala UI" w:cs="Nirmala UI"/>
          <w:b/>
          <w:bCs/>
          <w:i/>
          <w:iCs/>
          <w:sz w:val="22"/>
          <w:szCs w:val="22"/>
        </w:rPr>
        <w:t>Moodle</w:t>
      </w:r>
    </w:p>
    <w:p w14:paraId="60AEDF82" w14:textId="77777777" w:rsidR="0018431C" w:rsidRPr="0018431C" w:rsidRDefault="0018431C" w:rsidP="0018431C">
      <w:pPr>
        <w:jc w:val="both"/>
        <w:rPr>
          <w:rFonts w:ascii="Nirmala UI" w:eastAsia="Quicksand" w:hAnsi="Nirmala UI" w:cs="Nirmala UI"/>
          <w:sz w:val="22"/>
          <w:szCs w:val="22"/>
        </w:rPr>
      </w:pPr>
      <w:r w:rsidRPr="0018431C">
        <w:rPr>
          <w:rFonts w:ascii="Nirmala UI" w:eastAsia="Quicksand" w:hAnsi="Nirmala UI" w:cs="Nirmala UI"/>
          <w:sz w:val="22"/>
          <w:szCs w:val="22"/>
        </w:rPr>
        <w:t xml:space="preserve">Cada curso en </w:t>
      </w:r>
      <w:r w:rsidRPr="0018431C">
        <w:rPr>
          <w:rFonts w:ascii="Nirmala UI" w:eastAsia="Quicksand" w:hAnsi="Nirmala UI" w:cs="Nirmala UI"/>
          <w:i/>
          <w:iCs/>
          <w:sz w:val="22"/>
          <w:szCs w:val="22"/>
        </w:rPr>
        <w:t>Moodle</w:t>
      </w:r>
      <w:r w:rsidRPr="0018431C">
        <w:rPr>
          <w:rFonts w:ascii="Nirmala UI" w:eastAsia="Quicksand" w:hAnsi="Nirmala UI" w:cs="Nirmala UI"/>
          <w:sz w:val="22"/>
          <w:szCs w:val="22"/>
        </w:rPr>
        <w:t xml:space="preserve"> se estructura siguiendo una secuencia pedagógica coherente con los objetivos de aprendizaje del semestre (fig. 1). Los componentes principales son:</w:t>
      </w:r>
    </w:p>
    <w:p w14:paraId="2FC17058" w14:textId="77777777" w:rsidR="0018431C" w:rsidRPr="0018431C" w:rsidRDefault="0018431C" w:rsidP="0018431C">
      <w:pPr>
        <w:jc w:val="both"/>
        <w:rPr>
          <w:rFonts w:ascii="Nirmala UI" w:eastAsia="Quicksand" w:hAnsi="Nirmala UI" w:cs="Nirmala UI"/>
          <w:sz w:val="22"/>
          <w:szCs w:val="22"/>
        </w:rPr>
      </w:pPr>
    </w:p>
    <w:p w14:paraId="2AFFABF3" w14:textId="77777777" w:rsidR="0018431C" w:rsidRPr="0018431C" w:rsidRDefault="0018431C" w:rsidP="0018431C">
      <w:pPr>
        <w:numPr>
          <w:ilvl w:val="0"/>
          <w:numId w:val="18"/>
        </w:numPr>
        <w:spacing w:line="276" w:lineRule="auto"/>
        <w:jc w:val="both"/>
        <w:rPr>
          <w:rFonts w:ascii="Nirmala UI" w:eastAsia="Quicksand" w:hAnsi="Nirmala UI" w:cs="Nirmala UI"/>
          <w:sz w:val="22"/>
          <w:szCs w:val="22"/>
        </w:rPr>
      </w:pPr>
      <w:r w:rsidRPr="0018431C">
        <w:rPr>
          <w:rFonts w:ascii="Nirmala UI" w:eastAsia="Quicksand" w:hAnsi="Nirmala UI" w:cs="Nirmala UI"/>
          <w:b/>
          <w:bCs/>
          <w:sz w:val="22"/>
          <w:szCs w:val="22"/>
        </w:rPr>
        <w:t>Actividades:</w:t>
      </w:r>
      <w:r w:rsidRPr="0018431C">
        <w:rPr>
          <w:rFonts w:ascii="Nirmala UI" w:eastAsia="Quicksand" w:hAnsi="Nirmala UI" w:cs="Nirmala UI"/>
          <w:sz w:val="22"/>
          <w:szCs w:val="22"/>
        </w:rPr>
        <w:t xml:space="preserve"> foros, cuestionarios, tareas, wikis, glosarios, talleres y otras herramientas que promueven la construcción colectiva del conocimiento.</w:t>
      </w:r>
    </w:p>
    <w:p w14:paraId="2D7443CC" w14:textId="77777777" w:rsidR="0018431C" w:rsidRPr="0018431C" w:rsidRDefault="0018431C" w:rsidP="0018431C">
      <w:pPr>
        <w:numPr>
          <w:ilvl w:val="0"/>
          <w:numId w:val="18"/>
        </w:numPr>
        <w:spacing w:line="276" w:lineRule="auto"/>
        <w:jc w:val="both"/>
        <w:rPr>
          <w:rFonts w:ascii="Nirmala UI" w:eastAsia="Quicksand" w:hAnsi="Nirmala UI" w:cs="Nirmala UI"/>
          <w:b/>
          <w:bCs/>
          <w:sz w:val="22"/>
          <w:szCs w:val="22"/>
        </w:rPr>
      </w:pPr>
      <w:r w:rsidRPr="0018431C">
        <w:rPr>
          <w:rFonts w:ascii="Nirmala UI" w:eastAsia="Quicksand" w:hAnsi="Nirmala UI" w:cs="Nirmala UI"/>
          <w:b/>
          <w:bCs/>
          <w:sz w:val="22"/>
          <w:szCs w:val="22"/>
        </w:rPr>
        <w:t>Instrucciones detalladas:</w:t>
      </w:r>
      <w:r w:rsidRPr="0018431C">
        <w:rPr>
          <w:rFonts w:ascii="Nirmala UI" w:eastAsia="Quicksand" w:hAnsi="Nirmala UI" w:cs="Nirmala UI"/>
          <w:sz w:val="22"/>
          <w:szCs w:val="22"/>
        </w:rPr>
        <w:t xml:space="preserve"> incluyen también criterios de evaluación y guían hacia la exitosa obtención del producto. </w:t>
      </w:r>
    </w:p>
    <w:p w14:paraId="6059BDA0" w14:textId="77777777" w:rsidR="0018431C" w:rsidRPr="0018431C" w:rsidRDefault="0018431C" w:rsidP="0018431C">
      <w:pPr>
        <w:numPr>
          <w:ilvl w:val="0"/>
          <w:numId w:val="18"/>
        </w:numPr>
        <w:spacing w:line="276" w:lineRule="auto"/>
        <w:jc w:val="both"/>
        <w:rPr>
          <w:rFonts w:ascii="Nirmala UI" w:eastAsia="Quicksand" w:hAnsi="Nirmala UI" w:cs="Nirmala UI"/>
          <w:sz w:val="22"/>
          <w:szCs w:val="22"/>
        </w:rPr>
      </w:pPr>
      <w:r w:rsidRPr="0018431C">
        <w:rPr>
          <w:rFonts w:ascii="Nirmala UI" w:eastAsia="Quicksand" w:hAnsi="Nirmala UI" w:cs="Nirmala UI"/>
          <w:b/>
          <w:bCs/>
          <w:sz w:val="22"/>
          <w:szCs w:val="22"/>
        </w:rPr>
        <w:t>Recursos:</w:t>
      </w:r>
      <w:r w:rsidRPr="0018431C">
        <w:rPr>
          <w:rFonts w:ascii="Nirmala UI" w:eastAsia="Quicksand" w:hAnsi="Nirmala UI" w:cs="Nirmala UI"/>
          <w:sz w:val="22"/>
          <w:szCs w:val="22"/>
        </w:rPr>
        <w:t xml:space="preserve"> materiales de lectura, videos, guías, infografías y enlaces externos, dispuestos para consulta asincrónica.</w:t>
      </w:r>
    </w:p>
    <w:p w14:paraId="6DCC9F21" w14:textId="77777777" w:rsidR="0018431C" w:rsidRPr="0018431C" w:rsidRDefault="0018431C" w:rsidP="0018431C">
      <w:pPr>
        <w:numPr>
          <w:ilvl w:val="0"/>
          <w:numId w:val="18"/>
        </w:numPr>
        <w:spacing w:line="276" w:lineRule="auto"/>
        <w:jc w:val="both"/>
        <w:rPr>
          <w:rFonts w:ascii="Nirmala UI" w:eastAsia="Quicksand" w:hAnsi="Nirmala UI" w:cs="Nirmala UI"/>
          <w:sz w:val="22"/>
          <w:szCs w:val="22"/>
        </w:rPr>
      </w:pPr>
      <w:r w:rsidRPr="0018431C">
        <w:rPr>
          <w:rFonts w:ascii="Nirmala UI" w:eastAsia="Quicksand" w:hAnsi="Nirmala UI" w:cs="Nirmala UI"/>
          <w:b/>
          <w:bCs/>
          <w:sz w:val="22"/>
          <w:szCs w:val="22"/>
        </w:rPr>
        <w:t>Calendario y finalización de actividades</w:t>
      </w:r>
      <w:r w:rsidRPr="0018431C">
        <w:rPr>
          <w:rFonts w:ascii="Nirmala UI" w:eastAsia="Quicksand" w:hAnsi="Nirmala UI" w:cs="Nirmala UI"/>
          <w:sz w:val="22"/>
          <w:szCs w:val="22"/>
        </w:rPr>
        <w:t>: permiten visualizar las fechas clave, registrar el progreso y asegurar la continuidad de las acciones formativas.</w:t>
      </w:r>
    </w:p>
    <w:p w14:paraId="5E01A66E" w14:textId="77777777" w:rsidR="0018431C" w:rsidRPr="0018431C" w:rsidRDefault="0018431C" w:rsidP="0018431C">
      <w:pPr>
        <w:jc w:val="both"/>
        <w:rPr>
          <w:rFonts w:ascii="Nirmala UI" w:eastAsia="Quicksand" w:hAnsi="Nirmala UI" w:cs="Nirmala UI"/>
          <w:sz w:val="22"/>
          <w:szCs w:val="22"/>
        </w:rPr>
      </w:pPr>
    </w:p>
    <w:p w14:paraId="005AA41B" w14:textId="77777777" w:rsidR="0018431C" w:rsidRPr="0018431C" w:rsidRDefault="0018431C" w:rsidP="0018431C">
      <w:pPr>
        <w:jc w:val="both"/>
        <w:rPr>
          <w:rFonts w:ascii="Nirmala UI" w:eastAsia="Quicksand" w:hAnsi="Nirmala UI" w:cs="Nirmala UI"/>
          <w:sz w:val="22"/>
          <w:szCs w:val="22"/>
        </w:rPr>
      </w:pPr>
      <w:r w:rsidRPr="0018431C">
        <w:rPr>
          <w:rFonts w:ascii="Nirmala UI" w:eastAsia="Quicksand" w:hAnsi="Nirmala UI" w:cs="Nirmala UI"/>
          <w:sz w:val="22"/>
          <w:szCs w:val="22"/>
        </w:rPr>
        <w:t>El diseño instruccional busca combinar aprendizaje autónomo, trabajo colaborativo y acompañamiento docente, favoreciendo que el espacio virtual sea una extensión del trabajo comunitario y territorial.</w:t>
      </w:r>
    </w:p>
    <w:p w14:paraId="77FA2964" w14:textId="27A3BE55" w:rsidR="0018431C" w:rsidRPr="0018431C" w:rsidRDefault="0018431C" w:rsidP="0018431C">
      <w:pPr>
        <w:jc w:val="both"/>
        <w:rPr>
          <w:rFonts w:ascii="Nirmala UI" w:eastAsia="Quicksand" w:hAnsi="Nirmala UI" w:cs="Nirmala UI"/>
          <w:sz w:val="22"/>
          <w:szCs w:val="22"/>
        </w:rPr>
      </w:pPr>
      <w:r w:rsidRPr="0018431C">
        <w:rPr>
          <w:rFonts w:ascii="Nirmala UI" w:eastAsia="Quicksand" w:hAnsi="Nirmala UI" w:cs="Nirmala UI"/>
          <w:noProof/>
        </w:rPr>
        <w:drawing>
          <wp:inline distT="114300" distB="114300" distL="114300" distR="114300" wp14:anchorId="564C3647" wp14:editId="18CA657A">
            <wp:extent cx="5276850" cy="3438525"/>
            <wp:effectExtent l="0" t="0" r="0" b="9525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1203" cy="3447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D3BED1" w14:textId="10B4C657" w:rsidR="0018431C" w:rsidRPr="0018431C" w:rsidRDefault="0018431C" w:rsidP="0018431C">
      <w:pPr>
        <w:jc w:val="center"/>
        <w:rPr>
          <w:rFonts w:ascii="Nirmala UI" w:eastAsia="Quicksand" w:hAnsi="Nirmala UI" w:cs="Nirmala UI"/>
          <w:sz w:val="20"/>
          <w:szCs w:val="20"/>
        </w:rPr>
      </w:pPr>
      <w:r w:rsidRPr="0018431C">
        <w:rPr>
          <w:rFonts w:ascii="Nirmala UI" w:eastAsia="Quicksand" w:hAnsi="Nirmala UI" w:cs="Nirmala UI"/>
          <w:b/>
          <w:bCs/>
          <w:sz w:val="20"/>
          <w:szCs w:val="20"/>
        </w:rPr>
        <w:t xml:space="preserve">Figura 1. </w:t>
      </w:r>
      <w:r w:rsidRPr="0018431C">
        <w:rPr>
          <w:rFonts w:ascii="Nirmala UI" w:eastAsia="Quicksand" w:hAnsi="Nirmala UI" w:cs="Nirmala UI"/>
          <w:sz w:val="20"/>
          <w:szCs w:val="20"/>
        </w:rPr>
        <w:t>Ejemplo de secuencia pedagógica</w:t>
      </w:r>
    </w:p>
    <w:p w14:paraId="3A4C1AD6" w14:textId="77777777" w:rsidR="0018431C" w:rsidRPr="0018431C" w:rsidRDefault="0018431C" w:rsidP="0018431C">
      <w:pPr>
        <w:jc w:val="both"/>
        <w:rPr>
          <w:rFonts w:ascii="Nirmala UI" w:eastAsia="Quicksand" w:hAnsi="Nirmala UI" w:cs="Nirmala UI"/>
          <w:sz w:val="22"/>
          <w:szCs w:val="22"/>
        </w:rPr>
      </w:pPr>
    </w:p>
    <w:p w14:paraId="0176C13A" w14:textId="00FC7023" w:rsidR="0018431C" w:rsidRPr="0018431C" w:rsidRDefault="0018431C" w:rsidP="0018431C">
      <w:pPr>
        <w:pStyle w:val="Prrafodelista"/>
        <w:numPr>
          <w:ilvl w:val="0"/>
          <w:numId w:val="20"/>
        </w:numPr>
        <w:jc w:val="both"/>
        <w:rPr>
          <w:rFonts w:ascii="Nirmala UI" w:eastAsia="Quicksand" w:hAnsi="Nirmala UI" w:cs="Nirmala UI"/>
          <w:b/>
          <w:bCs/>
          <w:sz w:val="22"/>
          <w:szCs w:val="22"/>
        </w:rPr>
      </w:pPr>
      <w:proofErr w:type="spellStart"/>
      <w:r w:rsidRPr="0018431C">
        <w:rPr>
          <w:rFonts w:ascii="Nirmala UI" w:eastAsia="Quicksand" w:hAnsi="Nirmala UI" w:cs="Nirmala UI"/>
          <w:b/>
          <w:bCs/>
          <w:sz w:val="22"/>
          <w:szCs w:val="22"/>
        </w:rPr>
        <w:t>Seguimiento</w:t>
      </w:r>
      <w:proofErr w:type="spellEnd"/>
      <w:r w:rsidRPr="0018431C">
        <w:rPr>
          <w:rFonts w:ascii="Nirmala UI" w:eastAsia="Quicksand" w:hAnsi="Nirmala UI" w:cs="Nirmala UI"/>
          <w:b/>
          <w:bCs/>
          <w:sz w:val="22"/>
          <w:szCs w:val="22"/>
        </w:rPr>
        <w:t xml:space="preserve"> y </w:t>
      </w:r>
      <w:proofErr w:type="spellStart"/>
      <w:r w:rsidRPr="0018431C">
        <w:rPr>
          <w:rFonts w:ascii="Nirmala UI" w:eastAsia="Quicksand" w:hAnsi="Nirmala UI" w:cs="Nirmala UI"/>
          <w:b/>
          <w:bCs/>
          <w:sz w:val="22"/>
          <w:szCs w:val="22"/>
        </w:rPr>
        <w:t>monitoreo</w:t>
      </w:r>
      <w:proofErr w:type="spellEnd"/>
      <w:r w:rsidRPr="0018431C">
        <w:rPr>
          <w:rFonts w:ascii="Nirmala UI" w:eastAsia="Quicksand" w:hAnsi="Nirmala UI" w:cs="Nirmala UI"/>
          <w:b/>
          <w:bCs/>
          <w:sz w:val="22"/>
          <w:szCs w:val="22"/>
        </w:rPr>
        <w:t xml:space="preserve"> del </w:t>
      </w:r>
      <w:proofErr w:type="spellStart"/>
      <w:r w:rsidRPr="0018431C">
        <w:rPr>
          <w:rFonts w:ascii="Nirmala UI" w:eastAsia="Quicksand" w:hAnsi="Nirmala UI" w:cs="Nirmala UI"/>
          <w:b/>
          <w:bCs/>
          <w:sz w:val="22"/>
          <w:szCs w:val="22"/>
        </w:rPr>
        <w:t>avance</w:t>
      </w:r>
      <w:proofErr w:type="spellEnd"/>
    </w:p>
    <w:p w14:paraId="43DF7662" w14:textId="77777777" w:rsidR="0018431C" w:rsidRPr="0018431C" w:rsidRDefault="0018431C" w:rsidP="0018431C">
      <w:pPr>
        <w:jc w:val="both"/>
        <w:rPr>
          <w:rFonts w:ascii="Nirmala UI" w:eastAsia="Quicksand" w:hAnsi="Nirmala UI" w:cs="Nirmala UI"/>
          <w:sz w:val="22"/>
          <w:szCs w:val="22"/>
        </w:rPr>
      </w:pPr>
      <w:r w:rsidRPr="0018431C">
        <w:rPr>
          <w:rFonts w:ascii="Nirmala UI" w:eastAsia="Quicksand" w:hAnsi="Nirmala UI" w:cs="Nirmala UI"/>
          <w:i/>
          <w:iCs/>
          <w:sz w:val="22"/>
          <w:szCs w:val="22"/>
        </w:rPr>
        <w:t>Moodle</w:t>
      </w:r>
      <w:r w:rsidRPr="0018431C">
        <w:rPr>
          <w:rFonts w:ascii="Nirmala UI" w:eastAsia="Quicksand" w:hAnsi="Nirmala UI" w:cs="Nirmala UI"/>
          <w:sz w:val="22"/>
          <w:szCs w:val="22"/>
        </w:rPr>
        <w:t xml:space="preserve"> dispone de diversas herramientas para el seguimiento continuo del aprendizaje:</w:t>
      </w:r>
    </w:p>
    <w:p w14:paraId="6ECD5CCD" w14:textId="77777777" w:rsidR="0018431C" w:rsidRPr="0018431C" w:rsidRDefault="0018431C" w:rsidP="0018431C">
      <w:pPr>
        <w:jc w:val="both"/>
        <w:rPr>
          <w:rFonts w:ascii="Nirmala UI" w:eastAsia="Quicksand" w:hAnsi="Nirmala UI" w:cs="Nirmala UI"/>
          <w:sz w:val="22"/>
          <w:szCs w:val="22"/>
        </w:rPr>
      </w:pPr>
    </w:p>
    <w:p w14:paraId="576E098D" w14:textId="77777777" w:rsidR="0018431C" w:rsidRPr="0018431C" w:rsidRDefault="0018431C" w:rsidP="0018431C">
      <w:pPr>
        <w:numPr>
          <w:ilvl w:val="0"/>
          <w:numId w:val="19"/>
        </w:numPr>
        <w:spacing w:line="276" w:lineRule="auto"/>
        <w:jc w:val="both"/>
        <w:rPr>
          <w:rFonts w:ascii="Nirmala UI" w:eastAsia="Quicksand" w:hAnsi="Nirmala UI" w:cs="Nirmala UI"/>
          <w:sz w:val="22"/>
          <w:szCs w:val="22"/>
        </w:rPr>
      </w:pPr>
      <w:r w:rsidRPr="0018431C">
        <w:rPr>
          <w:rFonts w:ascii="Nirmala UI" w:eastAsia="Quicksand" w:hAnsi="Nirmala UI" w:cs="Nirmala UI"/>
          <w:b/>
          <w:bCs/>
          <w:sz w:val="22"/>
          <w:szCs w:val="22"/>
        </w:rPr>
        <w:lastRenderedPageBreak/>
        <w:t>La tabla de envíos</w:t>
      </w:r>
      <w:r w:rsidRPr="0018431C">
        <w:rPr>
          <w:rFonts w:ascii="Nirmala UI" w:eastAsia="Quicksand" w:hAnsi="Nirmala UI" w:cs="Nirmala UI"/>
          <w:sz w:val="22"/>
          <w:szCs w:val="22"/>
        </w:rPr>
        <w:t xml:space="preserve">, permite ver quién realizó la actividad, así como ver si se le ha otorgado un puntaje y una retroalimentación (fig. 2). </w:t>
      </w:r>
    </w:p>
    <w:p w14:paraId="33714169" w14:textId="77777777" w:rsidR="0018431C" w:rsidRPr="0018431C" w:rsidRDefault="0018431C" w:rsidP="0018431C">
      <w:pPr>
        <w:numPr>
          <w:ilvl w:val="0"/>
          <w:numId w:val="19"/>
        </w:numPr>
        <w:spacing w:line="276" w:lineRule="auto"/>
        <w:jc w:val="both"/>
        <w:rPr>
          <w:rFonts w:ascii="Nirmala UI" w:eastAsia="Quicksand" w:hAnsi="Nirmala UI" w:cs="Nirmala UI"/>
          <w:sz w:val="22"/>
          <w:szCs w:val="22"/>
        </w:rPr>
      </w:pPr>
      <w:r w:rsidRPr="0018431C">
        <w:rPr>
          <w:rFonts w:ascii="Nirmala UI" w:eastAsia="Quicksand" w:hAnsi="Nirmala UI" w:cs="Nirmala UI"/>
          <w:b/>
          <w:bCs/>
          <w:sz w:val="22"/>
          <w:szCs w:val="22"/>
        </w:rPr>
        <w:t>El reporte calificador</w:t>
      </w:r>
      <w:r w:rsidRPr="0018431C">
        <w:rPr>
          <w:rFonts w:ascii="Nirmala UI" w:eastAsia="Quicksand" w:hAnsi="Nirmala UI" w:cs="Nirmala UI"/>
          <w:sz w:val="22"/>
          <w:szCs w:val="22"/>
        </w:rPr>
        <w:t xml:space="preserve"> sirve como un informe de finalización de actividades, y muestra quién ha entregado o completado cada elemento del curso (fig. 3). Centraliza todas las notas, con posibilidad de ponderaciones, retroalimentación y exportación de datos.</w:t>
      </w:r>
    </w:p>
    <w:p w14:paraId="1AE73529" w14:textId="77777777" w:rsidR="0018431C" w:rsidRPr="0018431C" w:rsidRDefault="0018431C" w:rsidP="0018431C">
      <w:pPr>
        <w:numPr>
          <w:ilvl w:val="0"/>
          <w:numId w:val="19"/>
        </w:numPr>
        <w:spacing w:line="276" w:lineRule="auto"/>
        <w:jc w:val="both"/>
        <w:rPr>
          <w:rFonts w:ascii="Nirmala UI" w:eastAsia="Quicksand" w:hAnsi="Nirmala UI" w:cs="Nirmala UI"/>
          <w:sz w:val="22"/>
          <w:szCs w:val="22"/>
        </w:rPr>
      </w:pPr>
      <w:r w:rsidRPr="0018431C">
        <w:rPr>
          <w:rFonts w:ascii="Nirmala UI" w:eastAsia="Quicksand" w:hAnsi="Nirmala UI" w:cs="Nirmala UI"/>
          <w:b/>
          <w:bCs/>
          <w:sz w:val="22"/>
          <w:szCs w:val="22"/>
        </w:rPr>
        <w:t>Los reportes de avance</w:t>
      </w:r>
      <w:r w:rsidRPr="0018431C">
        <w:rPr>
          <w:rFonts w:ascii="Nirmala UI" w:eastAsia="Quicksand" w:hAnsi="Nirmala UI" w:cs="Nirmala UI"/>
          <w:sz w:val="22"/>
          <w:szCs w:val="22"/>
        </w:rPr>
        <w:t xml:space="preserve"> permiten a docentes y coordinadores identificar el nivel de involucramiento de cada estudiante (fig. 4). Aquí se muestran el total de actividades realizadas, la calificación acumulada y la participación o involucramiento de su tutor o tutora. </w:t>
      </w:r>
    </w:p>
    <w:p w14:paraId="32EF1B78" w14:textId="77777777" w:rsidR="0018431C" w:rsidRPr="0018431C" w:rsidRDefault="0018431C" w:rsidP="0018431C">
      <w:pPr>
        <w:numPr>
          <w:ilvl w:val="0"/>
          <w:numId w:val="19"/>
        </w:numPr>
        <w:spacing w:line="276" w:lineRule="auto"/>
        <w:jc w:val="both"/>
        <w:rPr>
          <w:rFonts w:ascii="Nirmala UI" w:eastAsia="Quicksand" w:hAnsi="Nirmala UI" w:cs="Nirmala UI"/>
          <w:sz w:val="22"/>
          <w:szCs w:val="22"/>
        </w:rPr>
      </w:pPr>
      <w:r w:rsidRPr="0018431C">
        <w:rPr>
          <w:rFonts w:ascii="Nirmala UI" w:eastAsia="Quicksand" w:hAnsi="Nirmala UI" w:cs="Nirmala UI"/>
          <w:b/>
          <w:bCs/>
          <w:sz w:val="22"/>
          <w:szCs w:val="22"/>
        </w:rPr>
        <w:t xml:space="preserve">Los bloques de progreso </w:t>
      </w:r>
      <w:r w:rsidRPr="0018431C">
        <w:rPr>
          <w:rFonts w:ascii="Nirmala UI" w:eastAsia="Quicksand" w:hAnsi="Nirmala UI" w:cs="Nirmala UI"/>
          <w:sz w:val="22"/>
          <w:szCs w:val="22"/>
        </w:rPr>
        <w:t>(fig. 5) y los criterios de finalización dan a los participantes una visión clara de su propio avance.</w:t>
      </w:r>
    </w:p>
    <w:p w14:paraId="64198755" w14:textId="76463E7C" w:rsidR="0018431C" w:rsidRPr="0018431C" w:rsidRDefault="0018431C" w:rsidP="0018431C">
      <w:pPr>
        <w:jc w:val="both"/>
        <w:rPr>
          <w:rFonts w:ascii="Nirmala UI" w:eastAsia="Quicksand" w:hAnsi="Nirmala UI" w:cs="Nirmala UI"/>
          <w:sz w:val="22"/>
          <w:szCs w:val="22"/>
        </w:rPr>
      </w:pPr>
      <w:r w:rsidRPr="0018431C">
        <w:rPr>
          <w:rFonts w:ascii="Nirmala UI" w:eastAsia="Quicksand" w:hAnsi="Nirmala UI" w:cs="Nirmala UI"/>
          <w:sz w:val="22"/>
          <w:szCs w:val="22"/>
        </w:rPr>
        <w:t>Este sistema de seguimiento facilita una tutoría oportuna y personalizada, ayudando a que ningún participante quede rezagado.</w:t>
      </w:r>
    </w:p>
    <w:p w14:paraId="4269B6D9" w14:textId="77777777" w:rsidR="0018431C" w:rsidRPr="0018431C" w:rsidRDefault="0018431C" w:rsidP="0018431C">
      <w:pPr>
        <w:jc w:val="both"/>
        <w:rPr>
          <w:rFonts w:ascii="Nirmala UI" w:eastAsia="Quicksand" w:hAnsi="Nirmala UI" w:cs="Nirmala UI"/>
        </w:rPr>
      </w:pPr>
    </w:p>
    <w:p w14:paraId="6C987D0B" w14:textId="77777777" w:rsidR="0018431C" w:rsidRPr="0018431C" w:rsidRDefault="0018431C" w:rsidP="0018431C">
      <w:pPr>
        <w:ind w:hanging="566"/>
        <w:jc w:val="center"/>
        <w:rPr>
          <w:rFonts w:ascii="Nirmala UI" w:eastAsia="Quicksand" w:hAnsi="Nirmala UI" w:cs="Nirmala UI"/>
        </w:rPr>
      </w:pPr>
      <w:r w:rsidRPr="0018431C">
        <w:rPr>
          <w:rFonts w:ascii="Nirmala UI" w:eastAsia="Quicksand" w:hAnsi="Nirmala UI" w:cs="Nirmala UI"/>
          <w:noProof/>
        </w:rPr>
        <w:drawing>
          <wp:inline distT="114300" distB="114300" distL="114300" distR="114300" wp14:anchorId="75B82FB4" wp14:editId="4778FCB1">
            <wp:extent cx="6117590" cy="1685925"/>
            <wp:effectExtent l="0" t="0" r="0" b="9525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353" cy="16866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020383" w14:textId="77777777" w:rsidR="0018431C" w:rsidRPr="0018431C" w:rsidRDefault="0018431C" w:rsidP="0018431C">
      <w:pPr>
        <w:ind w:hanging="566"/>
        <w:jc w:val="center"/>
        <w:rPr>
          <w:rFonts w:ascii="Nirmala UI" w:eastAsia="Quicksand" w:hAnsi="Nirmala UI" w:cs="Nirmala UI"/>
          <w:sz w:val="20"/>
          <w:szCs w:val="20"/>
        </w:rPr>
      </w:pPr>
      <w:r w:rsidRPr="0018431C">
        <w:rPr>
          <w:rFonts w:ascii="Nirmala UI" w:eastAsia="Quicksand" w:hAnsi="Nirmala UI" w:cs="Nirmala UI"/>
          <w:b/>
          <w:bCs/>
          <w:sz w:val="20"/>
          <w:szCs w:val="20"/>
        </w:rPr>
        <w:t>Figura 2.</w:t>
      </w:r>
      <w:r w:rsidRPr="0018431C">
        <w:rPr>
          <w:rFonts w:ascii="Nirmala UI" w:eastAsia="Quicksand" w:hAnsi="Nirmala UI" w:cs="Nirmala UI"/>
          <w:sz w:val="20"/>
          <w:szCs w:val="20"/>
        </w:rPr>
        <w:t xml:space="preserve"> Tabla de Envíos</w:t>
      </w:r>
    </w:p>
    <w:p w14:paraId="354D7D73" w14:textId="77777777" w:rsidR="0018431C" w:rsidRPr="0018431C" w:rsidRDefault="0018431C" w:rsidP="0018431C">
      <w:pPr>
        <w:ind w:hanging="566"/>
        <w:jc w:val="center"/>
        <w:rPr>
          <w:rFonts w:ascii="Nirmala UI" w:eastAsia="Quicksand" w:hAnsi="Nirmala UI" w:cs="Nirmala UI"/>
        </w:rPr>
      </w:pPr>
    </w:p>
    <w:p w14:paraId="071FDA05" w14:textId="77777777" w:rsidR="0018431C" w:rsidRPr="0018431C" w:rsidRDefault="0018431C" w:rsidP="0018431C">
      <w:pPr>
        <w:jc w:val="both"/>
        <w:rPr>
          <w:rFonts w:ascii="Nirmala UI" w:eastAsia="Quicksand" w:hAnsi="Nirmala UI" w:cs="Nirmala UI"/>
        </w:rPr>
      </w:pPr>
      <w:r w:rsidRPr="0018431C">
        <w:rPr>
          <w:rFonts w:ascii="Nirmala UI" w:eastAsia="Quicksand" w:hAnsi="Nirmala UI" w:cs="Nirmala UI"/>
          <w:noProof/>
        </w:rPr>
        <w:drawing>
          <wp:inline distT="114300" distB="114300" distL="114300" distR="114300" wp14:anchorId="60929D17" wp14:editId="2E55C6B6">
            <wp:extent cx="5454650" cy="2085975"/>
            <wp:effectExtent l="0" t="0" r="0" b="9525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4961" cy="20860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238FB5" w14:textId="5C6EA96C" w:rsidR="0018431C" w:rsidRPr="0018431C" w:rsidRDefault="0018431C" w:rsidP="0018431C">
      <w:pPr>
        <w:jc w:val="center"/>
        <w:rPr>
          <w:rFonts w:ascii="Nirmala UI" w:eastAsia="Quicksand" w:hAnsi="Nirmala UI" w:cs="Nirmala UI"/>
          <w:sz w:val="20"/>
          <w:szCs w:val="20"/>
        </w:rPr>
      </w:pPr>
      <w:r w:rsidRPr="0018431C">
        <w:rPr>
          <w:rFonts w:ascii="Nirmala UI" w:eastAsia="Quicksand" w:hAnsi="Nirmala UI" w:cs="Nirmala UI"/>
          <w:b/>
          <w:bCs/>
          <w:sz w:val="20"/>
          <w:szCs w:val="20"/>
        </w:rPr>
        <w:t>Figura 3.</w:t>
      </w:r>
      <w:r w:rsidRPr="0018431C">
        <w:rPr>
          <w:rFonts w:ascii="Nirmala UI" w:eastAsia="Quicksand" w:hAnsi="Nirmala UI" w:cs="Nirmala UI"/>
          <w:sz w:val="20"/>
          <w:szCs w:val="20"/>
        </w:rPr>
        <w:t xml:space="preserve"> Reporte calificador</w:t>
      </w:r>
    </w:p>
    <w:p w14:paraId="604CCE65" w14:textId="77777777" w:rsidR="0018431C" w:rsidRPr="0018431C" w:rsidRDefault="0018431C" w:rsidP="0018431C">
      <w:pPr>
        <w:jc w:val="both"/>
        <w:rPr>
          <w:rFonts w:ascii="Nirmala UI" w:eastAsia="Quicksand" w:hAnsi="Nirmala UI" w:cs="Nirmala UI"/>
        </w:rPr>
      </w:pPr>
      <w:r w:rsidRPr="0018431C">
        <w:rPr>
          <w:rFonts w:ascii="Nirmala UI" w:eastAsia="Quicksand" w:hAnsi="Nirmala UI" w:cs="Nirmala UI"/>
          <w:noProof/>
        </w:rPr>
        <w:lastRenderedPageBreak/>
        <w:drawing>
          <wp:inline distT="114300" distB="114300" distL="114300" distR="114300" wp14:anchorId="127BAC3D" wp14:editId="0C6475A2">
            <wp:extent cx="5083175" cy="1762125"/>
            <wp:effectExtent l="0" t="0" r="3175" b="9525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3471" cy="17622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AA5901" w14:textId="17A6288F" w:rsidR="0018431C" w:rsidRPr="0018431C" w:rsidRDefault="0018431C" w:rsidP="0018431C">
      <w:pPr>
        <w:jc w:val="center"/>
        <w:rPr>
          <w:rFonts w:ascii="Nirmala UI" w:eastAsia="Quicksand" w:hAnsi="Nirmala UI" w:cs="Nirmala UI"/>
          <w:sz w:val="20"/>
          <w:szCs w:val="20"/>
        </w:rPr>
      </w:pPr>
      <w:r w:rsidRPr="0018431C">
        <w:rPr>
          <w:rFonts w:ascii="Nirmala UI" w:eastAsia="Quicksand" w:hAnsi="Nirmala UI" w:cs="Nirmala UI"/>
          <w:b/>
          <w:bCs/>
          <w:sz w:val="20"/>
          <w:szCs w:val="20"/>
        </w:rPr>
        <w:t>Figura 4.</w:t>
      </w:r>
      <w:r w:rsidRPr="0018431C">
        <w:rPr>
          <w:rFonts w:ascii="Nirmala UI" w:eastAsia="Quicksand" w:hAnsi="Nirmala UI" w:cs="Nirmala UI"/>
          <w:sz w:val="20"/>
          <w:szCs w:val="20"/>
        </w:rPr>
        <w:t xml:space="preserve"> Reporte de Avance</w:t>
      </w:r>
    </w:p>
    <w:p w14:paraId="622554D3" w14:textId="77777777" w:rsidR="0018431C" w:rsidRPr="0018431C" w:rsidRDefault="0018431C" w:rsidP="0018431C">
      <w:pPr>
        <w:jc w:val="center"/>
        <w:rPr>
          <w:rFonts w:ascii="Nirmala UI" w:eastAsia="Quicksand" w:hAnsi="Nirmala UI" w:cs="Nirmala UI"/>
        </w:rPr>
      </w:pPr>
      <w:r w:rsidRPr="0018431C">
        <w:rPr>
          <w:rFonts w:ascii="Nirmala UI" w:eastAsia="Quicksand" w:hAnsi="Nirmala UI" w:cs="Nirmala UI"/>
          <w:noProof/>
        </w:rPr>
        <w:drawing>
          <wp:inline distT="114300" distB="114300" distL="114300" distR="114300" wp14:anchorId="58787ED4" wp14:editId="389E224C">
            <wp:extent cx="2891668" cy="1790700"/>
            <wp:effectExtent l="0" t="0" r="4445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3510" cy="17980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341E35" w14:textId="77777777" w:rsidR="0018431C" w:rsidRPr="0018431C" w:rsidRDefault="0018431C" w:rsidP="0018431C">
      <w:pPr>
        <w:jc w:val="center"/>
        <w:rPr>
          <w:rFonts w:ascii="Nirmala UI" w:eastAsia="Quicksand" w:hAnsi="Nirmala UI" w:cs="Nirmala UI"/>
          <w:sz w:val="20"/>
          <w:szCs w:val="20"/>
        </w:rPr>
      </w:pPr>
      <w:r w:rsidRPr="0018431C">
        <w:rPr>
          <w:rFonts w:ascii="Nirmala UI" w:eastAsia="Quicksand" w:hAnsi="Nirmala UI" w:cs="Nirmala UI"/>
          <w:b/>
          <w:bCs/>
          <w:sz w:val="20"/>
          <w:szCs w:val="20"/>
        </w:rPr>
        <w:t>Figura 5.</w:t>
      </w:r>
      <w:r w:rsidRPr="0018431C">
        <w:rPr>
          <w:rFonts w:ascii="Nirmala UI" w:eastAsia="Quicksand" w:hAnsi="Nirmala UI" w:cs="Nirmala UI"/>
          <w:sz w:val="20"/>
          <w:szCs w:val="20"/>
        </w:rPr>
        <w:t xml:space="preserve"> Bloque de progreso</w:t>
      </w:r>
    </w:p>
    <w:p w14:paraId="25200C75" w14:textId="77777777" w:rsidR="0018431C" w:rsidRDefault="0018431C" w:rsidP="0018431C">
      <w:pPr>
        <w:jc w:val="both"/>
        <w:rPr>
          <w:rFonts w:ascii="Nirmala UI" w:eastAsia="Quicksand" w:hAnsi="Nirmala UI" w:cs="Nirmala UI"/>
          <w:b/>
          <w:bCs/>
          <w:sz w:val="22"/>
          <w:szCs w:val="22"/>
        </w:rPr>
      </w:pPr>
    </w:p>
    <w:p w14:paraId="38F77BB0" w14:textId="77777777" w:rsidR="0018431C" w:rsidRDefault="0018431C" w:rsidP="0018431C">
      <w:pPr>
        <w:jc w:val="both"/>
        <w:rPr>
          <w:rFonts w:ascii="Nirmala UI" w:eastAsia="Quicksand" w:hAnsi="Nirmala UI" w:cs="Nirmala UI"/>
          <w:b/>
          <w:bCs/>
          <w:sz w:val="22"/>
          <w:szCs w:val="22"/>
        </w:rPr>
      </w:pPr>
    </w:p>
    <w:p w14:paraId="04D6F49B" w14:textId="471DB150" w:rsidR="0018431C" w:rsidRPr="0018431C" w:rsidRDefault="0018431C" w:rsidP="0018431C">
      <w:pPr>
        <w:pStyle w:val="Prrafodelista"/>
        <w:numPr>
          <w:ilvl w:val="0"/>
          <w:numId w:val="20"/>
        </w:numPr>
        <w:jc w:val="both"/>
        <w:rPr>
          <w:rFonts w:ascii="Nirmala UI" w:eastAsia="Quicksand" w:hAnsi="Nirmala UI" w:cs="Nirmala UI"/>
          <w:b/>
          <w:bCs/>
          <w:sz w:val="22"/>
          <w:szCs w:val="22"/>
        </w:rPr>
      </w:pPr>
      <w:proofErr w:type="spellStart"/>
      <w:r w:rsidRPr="0018431C">
        <w:rPr>
          <w:rFonts w:ascii="Nirmala UI" w:eastAsia="Quicksand" w:hAnsi="Nirmala UI" w:cs="Nirmala UI"/>
          <w:b/>
          <w:bCs/>
          <w:sz w:val="22"/>
          <w:szCs w:val="22"/>
        </w:rPr>
        <w:t>Evaluación</w:t>
      </w:r>
      <w:proofErr w:type="spellEnd"/>
      <w:r w:rsidRPr="0018431C">
        <w:rPr>
          <w:rFonts w:ascii="Nirmala UI" w:eastAsia="Quicksand" w:hAnsi="Nirmala UI" w:cs="Nirmala UI"/>
          <w:b/>
          <w:bCs/>
          <w:sz w:val="22"/>
          <w:szCs w:val="22"/>
        </w:rPr>
        <w:t xml:space="preserve"> y </w:t>
      </w:r>
      <w:proofErr w:type="spellStart"/>
      <w:r w:rsidRPr="0018431C">
        <w:rPr>
          <w:rFonts w:ascii="Nirmala UI" w:eastAsia="Quicksand" w:hAnsi="Nirmala UI" w:cs="Nirmala UI"/>
          <w:b/>
          <w:bCs/>
          <w:sz w:val="22"/>
          <w:szCs w:val="22"/>
        </w:rPr>
        <w:t>retroalimentación</w:t>
      </w:r>
      <w:proofErr w:type="spellEnd"/>
    </w:p>
    <w:p w14:paraId="4572954E" w14:textId="77777777" w:rsidR="0018431C" w:rsidRPr="0018431C" w:rsidRDefault="0018431C" w:rsidP="0018431C">
      <w:pPr>
        <w:jc w:val="both"/>
        <w:rPr>
          <w:rFonts w:ascii="Nirmala UI" w:eastAsia="Quicksand" w:hAnsi="Nirmala UI" w:cs="Nirmala UI"/>
          <w:sz w:val="22"/>
          <w:szCs w:val="22"/>
        </w:rPr>
      </w:pPr>
      <w:r w:rsidRPr="0018431C">
        <w:rPr>
          <w:rFonts w:ascii="Nirmala UI" w:eastAsia="Quicksand" w:hAnsi="Nirmala UI" w:cs="Nirmala UI"/>
          <w:sz w:val="22"/>
          <w:szCs w:val="22"/>
        </w:rPr>
        <w:t xml:space="preserve">La evaluación en </w:t>
      </w:r>
      <w:r w:rsidRPr="0018431C">
        <w:rPr>
          <w:rFonts w:ascii="Nirmala UI" w:eastAsia="Quicksand" w:hAnsi="Nirmala UI" w:cs="Nirmala UI"/>
          <w:i/>
          <w:iCs/>
          <w:sz w:val="22"/>
          <w:szCs w:val="22"/>
        </w:rPr>
        <w:t>Moodle</w:t>
      </w:r>
      <w:r w:rsidRPr="0018431C">
        <w:rPr>
          <w:rFonts w:ascii="Nirmala UI" w:eastAsia="Quicksand" w:hAnsi="Nirmala UI" w:cs="Nirmala UI"/>
          <w:sz w:val="22"/>
          <w:szCs w:val="22"/>
        </w:rPr>
        <w:t xml:space="preserve"> se basa en una combinación de instrumentos cuantitativos y cualitativos, que permiten valorar tanto el desempeño individual como el trabajo colectivo y territorial. Entre los principales mecanismos se encuentran:</w:t>
      </w:r>
    </w:p>
    <w:p w14:paraId="57D6B79D" w14:textId="77777777" w:rsidR="0018431C" w:rsidRPr="0018431C" w:rsidRDefault="0018431C" w:rsidP="0018431C">
      <w:pPr>
        <w:jc w:val="both"/>
        <w:rPr>
          <w:rFonts w:ascii="Nirmala UI" w:eastAsia="Quicksand" w:hAnsi="Nirmala UI" w:cs="Nirmala UI"/>
          <w:sz w:val="22"/>
          <w:szCs w:val="22"/>
        </w:rPr>
      </w:pPr>
    </w:p>
    <w:p w14:paraId="634ED98D" w14:textId="77777777" w:rsidR="0018431C" w:rsidRPr="0018431C" w:rsidRDefault="0018431C" w:rsidP="0018431C">
      <w:pPr>
        <w:numPr>
          <w:ilvl w:val="0"/>
          <w:numId w:val="17"/>
        </w:numPr>
        <w:spacing w:line="276" w:lineRule="auto"/>
        <w:jc w:val="both"/>
        <w:rPr>
          <w:rFonts w:ascii="Nirmala UI" w:eastAsia="Quicksand" w:hAnsi="Nirmala UI" w:cs="Nirmala UI"/>
          <w:sz w:val="22"/>
          <w:szCs w:val="22"/>
        </w:rPr>
      </w:pPr>
      <w:r w:rsidRPr="0018431C">
        <w:rPr>
          <w:rFonts w:ascii="Nirmala UI" w:eastAsia="Quicksand" w:hAnsi="Nirmala UI" w:cs="Nirmala UI"/>
          <w:sz w:val="22"/>
          <w:szCs w:val="22"/>
        </w:rPr>
        <w:t>Cuestionarios con evaluación automatizada o estructurada.</w:t>
      </w:r>
    </w:p>
    <w:p w14:paraId="62FCD60E" w14:textId="77777777" w:rsidR="0018431C" w:rsidRPr="0018431C" w:rsidRDefault="0018431C" w:rsidP="0018431C">
      <w:pPr>
        <w:numPr>
          <w:ilvl w:val="0"/>
          <w:numId w:val="17"/>
        </w:numPr>
        <w:spacing w:line="276" w:lineRule="auto"/>
        <w:jc w:val="both"/>
        <w:rPr>
          <w:rFonts w:ascii="Nirmala UI" w:eastAsia="Quicksand" w:hAnsi="Nirmala UI" w:cs="Nirmala UI"/>
          <w:sz w:val="22"/>
          <w:szCs w:val="22"/>
        </w:rPr>
      </w:pPr>
      <w:r w:rsidRPr="0018431C">
        <w:rPr>
          <w:rFonts w:ascii="Nirmala UI" w:eastAsia="Quicksand" w:hAnsi="Nirmala UI" w:cs="Nirmala UI"/>
          <w:sz w:val="22"/>
          <w:szCs w:val="22"/>
        </w:rPr>
        <w:t>Tareas y foros con retroalimentación individual o grupal (fig. 6).</w:t>
      </w:r>
    </w:p>
    <w:p w14:paraId="35E0D0B1" w14:textId="47F96092" w:rsidR="0018431C" w:rsidRPr="0018431C" w:rsidRDefault="0018431C" w:rsidP="0018431C">
      <w:pPr>
        <w:numPr>
          <w:ilvl w:val="0"/>
          <w:numId w:val="17"/>
        </w:numPr>
        <w:spacing w:line="276" w:lineRule="auto"/>
        <w:jc w:val="both"/>
        <w:rPr>
          <w:rFonts w:ascii="Nirmala UI" w:eastAsia="Quicksand" w:hAnsi="Nirmala UI" w:cs="Nirmala UI"/>
          <w:sz w:val="22"/>
          <w:szCs w:val="22"/>
        </w:rPr>
      </w:pPr>
      <w:r w:rsidRPr="0018431C">
        <w:rPr>
          <w:rFonts w:ascii="Nirmala UI" w:eastAsia="Quicksand" w:hAnsi="Nirmala UI" w:cs="Nirmala UI"/>
          <w:sz w:val="22"/>
          <w:szCs w:val="22"/>
        </w:rPr>
        <w:t>Criterios de evaluación y valores personalizados para transparentar los criterios de evaluación.</w:t>
      </w:r>
    </w:p>
    <w:p w14:paraId="0CB2DC23" w14:textId="77777777" w:rsidR="0018431C" w:rsidRPr="0018431C" w:rsidRDefault="0018431C" w:rsidP="0018431C">
      <w:pPr>
        <w:jc w:val="both"/>
        <w:rPr>
          <w:rFonts w:ascii="Nirmala UI" w:eastAsia="Quicksand" w:hAnsi="Nirmala UI" w:cs="Nirmala UI"/>
          <w:sz w:val="22"/>
          <w:szCs w:val="22"/>
        </w:rPr>
      </w:pPr>
      <w:r w:rsidRPr="0018431C">
        <w:rPr>
          <w:rFonts w:ascii="Nirmala UI" w:eastAsia="Quicksand" w:hAnsi="Nirmala UI" w:cs="Nirmala UI"/>
          <w:sz w:val="22"/>
          <w:szCs w:val="22"/>
        </w:rPr>
        <w:t>El enfoque de evaluación es formativo e integral: busca acompañar los procesos de aprendizaje más que solo calificarlos, fomentando la reflexión y la mejora continua.</w:t>
      </w:r>
    </w:p>
    <w:p w14:paraId="44B3E948" w14:textId="77777777" w:rsidR="0018431C" w:rsidRPr="0018431C" w:rsidRDefault="0018431C" w:rsidP="0018431C">
      <w:pPr>
        <w:jc w:val="both"/>
        <w:rPr>
          <w:rFonts w:ascii="Nirmala UI" w:eastAsia="Quicksand" w:hAnsi="Nirmala UI" w:cs="Nirmala UI"/>
        </w:rPr>
      </w:pPr>
    </w:p>
    <w:p w14:paraId="45093C55" w14:textId="77777777" w:rsidR="0018431C" w:rsidRPr="0018431C" w:rsidRDefault="0018431C" w:rsidP="0018431C">
      <w:pPr>
        <w:jc w:val="both"/>
        <w:rPr>
          <w:rFonts w:ascii="Nirmala UI" w:eastAsia="Quicksand" w:hAnsi="Nirmala UI" w:cs="Nirmala UI"/>
        </w:rPr>
      </w:pPr>
      <w:r w:rsidRPr="0018431C">
        <w:rPr>
          <w:rFonts w:ascii="Nirmala UI" w:eastAsia="Quicksand" w:hAnsi="Nirmala UI" w:cs="Nirmala UI"/>
          <w:noProof/>
        </w:rPr>
        <w:lastRenderedPageBreak/>
        <w:drawing>
          <wp:inline distT="114300" distB="114300" distL="114300" distR="114300" wp14:anchorId="0A9CD306" wp14:editId="3D583D36">
            <wp:extent cx="5731200" cy="1981200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5C662B" w14:textId="77777777" w:rsidR="0018431C" w:rsidRPr="0018431C" w:rsidRDefault="0018431C" w:rsidP="0018431C">
      <w:pPr>
        <w:jc w:val="center"/>
        <w:rPr>
          <w:rFonts w:ascii="Nirmala UI" w:eastAsia="Quicksand" w:hAnsi="Nirmala UI" w:cs="Nirmala UI"/>
          <w:sz w:val="20"/>
          <w:szCs w:val="20"/>
        </w:rPr>
      </w:pPr>
      <w:r w:rsidRPr="0018431C">
        <w:rPr>
          <w:rFonts w:ascii="Nirmala UI" w:eastAsia="Quicksand" w:hAnsi="Nirmala UI" w:cs="Nirmala UI"/>
          <w:b/>
          <w:bCs/>
          <w:sz w:val="20"/>
          <w:szCs w:val="20"/>
        </w:rPr>
        <w:t>Figura 6.</w:t>
      </w:r>
      <w:r w:rsidRPr="0018431C">
        <w:rPr>
          <w:rFonts w:ascii="Nirmala UI" w:eastAsia="Quicksand" w:hAnsi="Nirmala UI" w:cs="Nirmala UI"/>
          <w:sz w:val="20"/>
          <w:szCs w:val="20"/>
        </w:rPr>
        <w:t xml:space="preserve"> Retroalimentación en un Foro por parte de un facilitador.</w:t>
      </w:r>
    </w:p>
    <w:p w14:paraId="09C83892" w14:textId="77777777" w:rsidR="0018431C" w:rsidRPr="0018431C" w:rsidRDefault="0018431C" w:rsidP="0018431C">
      <w:pPr>
        <w:jc w:val="both"/>
        <w:rPr>
          <w:rFonts w:ascii="Nirmala UI" w:eastAsia="Quicksand" w:hAnsi="Nirmala UI" w:cs="Nirmala UI"/>
          <w:sz w:val="20"/>
          <w:szCs w:val="20"/>
        </w:rPr>
      </w:pPr>
    </w:p>
    <w:p w14:paraId="612EEE50" w14:textId="77777777" w:rsidR="0018431C" w:rsidRPr="0018431C" w:rsidRDefault="0018431C" w:rsidP="0018431C">
      <w:pPr>
        <w:jc w:val="both"/>
        <w:rPr>
          <w:rFonts w:ascii="Nirmala UI" w:eastAsia="Quicksand" w:hAnsi="Nirmala UI" w:cs="Nirmala UI"/>
        </w:rPr>
      </w:pPr>
    </w:p>
    <w:p w14:paraId="295FA1E4" w14:textId="57F65497" w:rsidR="0018431C" w:rsidRPr="0018431C" w:rsidRDefault="0018431C" w:rsidP="0018431C">
      <w:pPr>
        <w:pStyle w:val="Prrafodelista"/>
        <w:numPr>
          <w:ilvl w:val="0"/>
          <w:numId w:val="20"/>
        </w:numPr>
        <w:jc w:val="both"/>
        <w:rPr>
          <w:rFonts w:ascii="Nirmala UI" w:eastAsia="Quicksand" w:hAnsi="Nirmala UI" w:cs="Nirmala UI"/>
          <w:b/>
          <w:bCs/>
          <w:sz w:val="22"/>
          <w:szCs w:val="22"/>
        </w:rPr>
      </w:pPr>
      <w:proofErr w:type="spellStart"/>
      <w:r w:rsidRPr="0018431C">
        <w:rPr>
          <w:rFonts w:ascii="Nirmala UI" w:eastAsia="Quicksand" w:hAnsi="Nirmala UI" w:cs="Nirmala UI"/>
          <w:b/>
          <w:bCs/>
          <w:sz w:val="22"/>
          <w:szCs w:val="22"/>
        </w:rPr>
        <w:t>Operación</w:t>
      </w:r>
      <w:proofErr w:type="spellEnd"/>
      <w:r w:rsidRPr="0018431C">
        <w:rPr>
          <w:rFonts w:ascii="Nirmala UI" w:eastAsia="Quicksand" w:hAnsi="Nirmala UI" w:cs="Nirmala UI"/>
          <w:b/>
          <w:bCs/>
          <w:sz w:val="22"/>
          <w:szCs w:val="22"/>
        </w:rPr>
        <w:t xml:space="preserve"> general del </w:t>
      </w:r>
      <w:proofErr w:type="spellStart"/>
      <w:r w:rsidRPr="0018431C">
        <w:rPr>
          <w:rFonts w:ascii="Nirmala UI" w:eastAsia="Quicksand" w:hAnsi="Nirmala UI" w:cs="Nirmala UI"/>
          <w:b/>
          <w:bCs/>
          <w:sz w:val="22"/>
          <w:szCs w:val="22"/>
        </w:rPr>
        <w:t>semestre</w:t>
      </w:r>
      <w:proofErr w:type="spellEnd"/>
    </w:p>
    <w:p w14:paraId="54D27F0B" w14:textId="77777777" w:rsidR="0018431C" w:rsidRPr="0018431C" w:rsidRDefault="0018431C" w:rsidP="0018431C">
      <w:pPr>
        <w:jc w:val="both"/>
        <w:rPr>
          <w:rFonts w:ascii="Nirmala UI" w:eastAsia="Quicksand" w:hAnsi="Nirmala UI" w:cs="Nirmala UI"/>
          <w:sz w:val="22"/>
          <w:szCs w:val="22"/>
        </w:rPr>
      </w:pPr>
      <w:r w:rsidRPr="0018431C">
        <w:rPr>
          <w:rFonts w:ascii="Nirmala UI" w:eastAsia="Quicksand" w:hAnsi="Nirmala UI" w:cs="Nirmala UI"/>
          <w:sz w:val="22"/>
          <w:szCs w:val="22"/>
        </w:rPr>
        <w:t xml:space="preserve">Durante cada semestre, la plataforma </w:t>
      </w:r>
      <w:r w:rsidRPr="0018431C">
        <w:rPr>
          <w:rFonts w:ascii="Nirmala UI" w:eastAsia="Quicksand" w:hAnsi="Nirmala UI" w:cs="Nirmala UI"/>
          <w:i/>
          <w:iCs/>
          <w:sz w:val="22"/>
          <w:szCs w:val="22"/>
        </w:rPr>
        <w:t xml:space="preserve">Moodle </w:t>
      </w:r>
      <w:r w:rsidRPr="0018431C">
        <w:rPr>
          <w:rFonts w:ascii="Nirmala UI" w:eastAsia="Quicksand" w:hAnsi="Nirmala UI" w:cs="Nirmala UI"/>
          <w:sz w:val="22"/>
          <w:szCs w:val="22"/>
        </w:rPr>
        <w:t>se utiliza para:</w:t>
      </w:r>
    </w:p>
    <w:p w14:paraId="2A60B352" w14:textId="77777777" w:rsidR="0018431C" w:rsidRPr="0018431C" w:rsidRDefault="0018431C" w:rsidP="0018431C">
      <w:pPr>
        <w:jc w:val="both"/>
        <w:rPr>
          <w:rFonts w:ascii="Nirmala UI" w:eastAsia="Quicksand" w:hAnsi="Nirmala UI" w:cs="Nirmala UI"/>
          <w:sz w:val="22"/>
          <w:szCs w:val="22"/>
        </w:rPr>
      </w:pPr>
    </w:p>
    <w:p w14:paraId="5ACC20F6" w14:textId="77777777" w:rsidR="0018431C" w:rsidRPr="0018431C" w:rsidRDefault="0018431C" w:rsidP="0018431C">
      <w:pPr>
        <w:numPr>
          <w:ilvl w:val="0"/>
          <w:numId w:val="16"/>
        </w:numPr>
        <w:spacing w:line="276" w:lineRule="auto"/>
        <w:jc w:val="both"/>
        <w:rPr>
          <w:rFonts w:ascii="Nirmala UI" w:eastAsia="Quicksand" w:hAnsi="Nirmala UI" w:cs="Nirmala UI"/>
          <w:sz w:val="22"/>
          <w:szCs w:val="22"/>
        </w:rPr>
      </w:pPr>
      <w:r w:rsidRPr="0018431C">
        <w:rPr>
          <w:rFonts w:ascii="Nirmala UI" w:eastAsia="Quicksand" w:hAnsi="Nirmala UI" w:cs="Nirmala UI"/>
          <w:sz w:val="22"/>
          <w:szCs w:val="22"/>
        </w:rPr>
        <w:t>Dar de alta cursos, docentes y estudiantes, manteniendo la trazabilidad de la matrícula.</w:t>
      </w:r>
    </w:p>
    <w:p w14:paraId="641964D7" w14:textId="77777777" w:rsidR="0018431C" w:rsidRPr="0018431C" w:rsidRDefault="0018431C" w:rsidP="0018431C">
      <w:pPr>
        <w:numPr>
          <w:ilvl w:val="0"/>
          <w:numId w:val="16"/>
        </w:numPr>
        <w:spacing w:line="276" w:lineRule="auto"/>
        <w:jc w:val="both"/>
        <w:rPr>
          <w:rFonts w:ascii="Nirmala UI" w:eastAsia="Quicksand" w:hAnsi="Nirmala UI" w:cs="Nirmala UI"/>
          <w:sz w:val="22"/>
          <w:szCs w:val="22"/>
        </w:rPr>
      </w:pPr>
      <w:r w:rsidRPr="0018431C">
        <w:rPr>
          <w:rFonts w:ascii="Nirmala UI" w:eastAsia="Quicksand" w:hAnsi="Nirmala UI" w:cs="Nirmala UI"/>
          <w:sz w:val="22"/>
          <w:szCs w:val="22"/>
        </w:rPr>
        <w:t>Monitorear los avances mediante informes consolidados de participación, calificaciones y finalización.</w:t>
      </w:r>
    </w:p>
    <w:p w14:paraId="3D3E8664" w14:textId="77777777" w:rsidR="0018431C" w:rsidRPr="0018431C" w:rsidRDefault="0018431C" w:rsidP="0018431C">
      <w:pPr>
        <w:numPr>
          <w:ilvl w:val="0"/>
          <w:numId w:val="16"/>
        </w:numPr>
        <w:spacing w:line="276" w:lineRule="auto"/>
        <w:jc w:val="both"/>
        <w:rPr>
          <w:rFonts w:ascii="Nirmala UI" w:eastAsia="Quicksand" w:hAnsi="Nirmala UI" w:cs="Nirmala UI"/>
          <w:sz w:val="22"/>
          <w:szCs w:val="22"/>
        </w:rPr>
      </w:pPr>
      <w:r w:rsidRPr="0018431C">
        <w:rPr>
          <w:rFonts w:ascii="Nirmala UI" w:eastAsia="Quicksand" w:hAnsi="Nirmala UI" w:cs="Nirmala UI"/>
          <w:sz w:val="22"/>
          <w:szCs w:val="22"/>
        </w:rPr>
        <w:t>Acompañar los procesos formativos mediante foros institucionales, avisos y espacios de comunicación síncrona y asincrónica.</w:t>
      </w:r>
    </w:p>
    <w:p w14:paraId="22B66E97" w14:textId="77777777" w:rsidR="0018431C" w:rsidRPr="0018431C" w:rsidRDefault="0018431C" w:rsidP="0018431C">
      <w:pPr>
        <w:numPr>
          <w:ilvl w:val="0"/>
          <w:numId w:val="16"/>
        </w:numPr>
        <w:spacing w:line="276" w:lineRule="auto"/>
        <w:jc w:val="both"/>
        <w:rPr>
          <w:rFonts w:ascii="Nirmala UI" w:eastAsia="Quicksand" w:hAnsi="Nirmala UI" w:cs="Nirmala UI"/>
          <w:sz w:val="22"/>
          <w:szCs w:val="22"/>
        </w:rPr>
      </w:pPr>
      <w:r w:rsidRPr="0018431C">
        <w:rPr>
          <w:rFonts w:ascii="Nirmala UI" w:eastAsia="Quicksand" w:hAnsi="Nirmala UI" w:cs="Nirmala UI"/>
          <w:sz w:val="22"/>
          <w:szCs w:val="22"/>
        </w:rPr>
        <w:t>Integrar evidencias de campo y actividades presenciales como parte del portafolio digital de cada participante.</w:t>
      </w:r>
    </w:p>
    <w:p w14:paraId="4BBD5C8A" w14:textId="77777777" w:rsidR="0018431C" w:rsidRPr="0018431C" w:rsidRDefault="0018431C" w:rsidP="0018431C">
      <w:pPr>
        <w:jc w:val="both"/>
        <w:rPr>
          <w:rFonts w:ascii="Nirmala UI" w:eastAsia="Quicksand" w:hAnsi="Nirmala UI" w:cs="Nirmala UI"/>
          <w:sz w:val="22"/>
          <w:szCs w:val="22"/>
        </w:rPr>
      </w:pPr>
    </w:p>
    <w:p w14:paraId="3A93F120" w14:textId="77777777" w:rsidR="0018431C" w:rsidRPr="0018431C" w:rsidRDefault="0018431C" w:rsidP="0018431C">
      <w:pPr>
        <w:jc w:val="both"/>
        <w:rPr>
          <w:rFonts w:ascii="Nirmala UI" w:eastAsia="Quicksand" w:hAnsi="Nirmala UI" w:cs="Nirmala UI"/>
          <w:sz w:val="22"/>
          <w:szCs w:val="22"/>
        </w:rPr>
      </w:pPr>
      <w:r w:rsidRPr="0018431C">
        <w:rPr>
          <w:rFonts w:ascii="Nirmala UI" w:eastAsia="Quicksand" w:hAnsi="Nirmala UI" w:cs="Nirmala UI"/>
          <w:sz w:val="22"/>
          <w:szCs w:val="22"/>
        </w:rPr>
        <w:t>Este modelo operativo permite que la ENBC-ASA mantenga una gestión académica descentralizada, colaborativa y contextualizada, asegurando la articulación entre los entornos virtuales y las experiencias presenciales en comunidad.</w:t>
      </w:r>
    </w:p>
    <w:p w14:paraId="14713889" w14:textId="77777777" w:rsidR="0018431C" w:rsidRPr="0018431C" w:rsidRDefault="0018431C" w:rsidP="0018431C">
      <w:pPr>
        <w:jc w:val="both"/>
        <w:rPr>
          <w:rFonts w:ascii="Nirmala UI" w:eastAsia="Quicksand" w:hAnsi="Nirmala UI" w:cs="Nirmala UI"/>
          <w:sz w:val="22"/>
          <w:szCs w:val="22"/>
        </w:rPr>
      </w:pPr>
    </w:p>
    <w:p w14:paraId="5207B3F6" w14:textId="756689C0" w:rsidR="0018431C" w:rsidRPr="0018431C" w:rsidRDefault="0018431C" w:rsidP="0018431C">
      <w:pPr>
        <w:pStyle w:val="Prrafodelista"/>
        <w:numPr>
          <w:ilvl w:val="0"/>
          <w:numId w:val="20"/>
        </w:numPr>
        <w:jc w:val="both"/>
        <w:rPr>
          <w:rFonts w:ascii="Nirmala UI" w:eastAsia="Quicksand" w:hAnsi="Nirmala UI" w:cs="Nirmala UI"/>
          <w:b/>
          <w:bCs/>
          <w:sz w:val="22"/>
          <w:szCs w:val="22"/>
        </w:rPr>
      </w:pPr>
      <w:proofErr w:type="spellStart"/>
      <w:r w:rsidRPr="0018431C">
        <w:rPr>
          <w:rFonts w:ascii="Nirmala UI" w:eastAsia="Quicksand" w:hAnsi="Nirmala UI" w:cs="Nirmala UI"/>
          <w:b/>
          <w:bCs/>
          <w:sz w:val="22"/>
          <w:szCs w:val="22"/>
        </w:rPr>
        <w:t>Conclusión</w:t>
      </w:r>
      <w:proofErr w:type="spellEnd"/>
    </w:p>
    <w:p w14:paraId="0C8FC015" w14:textId="77777777" w:rsidR="0018431C" w:rsidRPr="0018431C" w:rsidRDefault="0018431C" w:rsidP="0018431C">
      <w:pPr>
        <w:jc w:val="both"/>
        <w:rPr>
          <w:rFonts w:ascii="Nirmala UI" w:eastAsia="Quicksand" w:hAnsi="Nirmala UI" w:cs="Nirmala UI"/>
          <w:sz w:val="22"/>
          <w:szCs w:val="22"/>
        </w:rPr>
      </w:pPr>
      <w:r w:rsidRPr="0018431C">
        <w:rPr>
          <w:rFonts w:ascii="Nirmala UI" w:eastAsia="Quicksand" w:hAnsi="Nirmala UI" w:cs="Nirmala UI"/>
          <w:sz w:val="22"/>
          <w:szCs w:val="22"/>
        </w:rPr>
        <w:t xml:space="preserve">La ENBC-ASA articula una modalidad híbrida sustentada en el uso del LMS </w:t>
      </w:r>
      <w:r w:rsidRPr="0018431C">
        <w:rPr>
          <w:rFonts w:ascii="Nirmala UI" w:eastAsia="Quicksand" w:hAnsi="Nirmala UI" w:cs="Nirmala UI"/>
          <w:i/>
          <w:iCs/>
          <w:sz w:val="22"/>
          <w:szCs w:val="22"/>
        </w:rPr>
        <w:t>Moodle</w:t>
      </w:r>
      <w:r w:rsidRPr="0018431C">
        <w:rPr>
          <w:rFonts w:ascii="Nirmala UI" w:eastAsia="Quicksand" w:hAnsi="Nirmala UI" w:cs="Nirmala UI"/>
          <w:sz w:val="22"/>
          <w:szCs w:val="22"/>
        </w:rPr>
        <w:t xml:space="preserve"> para garantizar un aprendizaje flexible, participativo y territorializado. Gracias a esta estructura, los procesos educativos se desarrollan con rigurosidad técnica, acompañamiento permanente y evaluación formativa, fortaleciendo la construcción colectiva de conocimientos en agroecologías y soberanía alimentaria.</w:t>
      </w:r>
    </w:p>
    <w:p w14:paraId="17181664" w14:textId="77777777" w:rsidR="00D055F5" w:rsidRPr="0018431C" w:rsidRDefault="00D055F5" w:rsidP="0018431C">
      <w:pPr>
        <w:rPr>
          <w:rFonts w:ascii="Nirmala UI" w:hAnsi="Nirmala UI" w:cs="Nirmala UI"/>
          <w:sz w:val="22"/>
          <w:szCs w:val="22"/>
        </w:rPr>
      </w:pPr>
    </w:p>
    <w:sectPr w:rsidR="00D055F5" w:rsidRPr="0018431C" w:rsidSect="00A73D65">
      <w:headerReference w:type="even" r:id="rId14"/>
      <w:headerReference w:type="default" r:id="rId15"/>
      <w:footerReference w:type="even" r:id="rId16"/>
      <w:footerReference w:type="default" r:id="rId17"/>
      <w:pgSz w:w="12240" w:h="15840"/>
      <w:pgMar w:top="234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B5382" w14:textId="77777777" w:rsidR="0071645D" w:rsidRDefault="0071645D" w:rsidP="00A73D65">
      <w:r>
        <w:separator/>
      </w:r>
    </w:p>
  </w:endnote>
  <w:endnote w:type="continuationSeparator" w:id="0">
    <w:p w14:paraId="12DA3317" w14:textId="77777777" w:rsidR="0071645D" w:rsidRDefault="0071645D" w:rsidP="00A73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  <w:font w:name="Quicksand">
    <w:altName w:val="Calibri"/>
    <w:charset w:val="00"/>
    <w:family w:val="auto"/>
    <w:pitch w:val="default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oto Sans Medium">
    <w:altName w:val="Calibri"/>
    <w:charset w:val="00"/>
    <w:family w:val="swiss"/>
    <w:pitch w:val="variable"/>
    <w:sig w:usb0="E00002FF" w:usb1="4000201F" w:usb2="0800002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08361" w14:textId="5688B21B" w:rsidR="00FD1854" w:rsidRDefault="00BF379D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609D6A" wp14:editId="0A4B6DE7">
              <wp:simplePos x="0" y="0"/>
              <wp:positionH relativeFrom="column">
                <wp:posOffset>1248286</wp:posOffset>
              </wp:positionH>
              <wp:positionV relativeFrom="paragraph">
                <wp:posOffset>-472014</wp:posOffset>
              </wp:positionV>
              <wp:extent cx="5005633" cy="216602"/>
              <wp:effectExtent l="0" t="0" r="0" b="0"/>
              <wp:wrapNone/>
              <wp:docPr id="727452448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05633" cy="21660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21F498" w14:textId="77777777" w:rsidR="007E184A" w:rsidRPr="00762CB9" w:rsidRDefault="007E184A" w:rsidP="007E184A">
                          <w:pPr>
                            <w:rPr>
                              <w:rFonts w:ascii="Noto Sans" w:hAnsi="Noto Sans" w:cs="Noto Sans"/>
                              <w:color w:val="4D182A"/>
                              <w:sz w:val="13"/>
                              <w:szCs w:val="13"/>
                            </w:rPr>
                          </w:pPr>
                          <w:r w:rsidRPr="00762CB9">
                            <w:rPr>
                              <w:rFonts w:ascii="Noto Sans" w:hAnsi="Noto Sans" w:cs="Noto Sans"/>
                              <w:color w:val="4D182A"/>
                              <w:sz w:val="13"/>
                              <w:szCs w:val="13"/>
                            </w:rPr>
                            <w:t>Av. Normalistas No. 800, Colinas de La Normal, CP. 44270, Guadalajara, Jal., México. Tel: (33) 3345 5200 www.ciatej.mxt</w:t>
                          </w:r>
                        </w:p>
                        <w:p w14:paraId="59B15790" w14:textId="77777777" w:rsidR="007E184A" w:rsidRPr="00D30C72" w:rsidRDefault="007E184A" w:rsidP="007E184A">
                          <w:pPr>
                            <w:rPr>
                              <w:rFonts w:ascii="Noto Sans Medium" w:hAnsi="Noto Sans Medium" w:cs="Noto Sans Medium"/>
                              <w:color w:val="4D182A"/>
                              <w:sz w:val="13"/>
                              <w:szCs w:val="13"/>
                            </w:rPr>
                          </w:pPr>
                        </w:p>
                        <w:p w14:paraId="1DF66BD5" w14:textId="77777777" w:rsidR="00BF379D" w:rsidRPr="0066676F" w:rsidRDefault="00BF379D" w:rsidP="00BF379D">
                          <w:pPr>
                            <w:rPr>
                              <w:rFonts w:ascii="Noto Sans Medium" w:hAnsi="Noto Sans Medium" w:cs="Noto Sans Medium"/>
                              <w:color w:val="4D182A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609D6A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98.3pt;margin-top:-37.15pt;width:394.15pt;height:17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" filled="f" stroked="f" strokeweight=".5pt">
              <v:textbox>
                <w:txbxContent>
                  <w:p w14:paraId="4821F498" w14:textId="77777777" w:rsidR="007E184A" w:rsidRPr="00762CB9" w:rsidRDefault="007E184A" w:rsidP="007E184A">
                    <w:pPr>
                      <w:rPr>
                        <w:rFonts w:ascii="Noto Sans" w:hAnsi="Noto Sans" w:cs="Noto Sans"/>
                        <w:color w:val="4D182A"/>
                        <w:sz w:val="13"/>
                        <w:szCs w:val="13"/>
                      </w:rPr>
                    </w:pPr>
                    <w:r w:rsidRPr="00762CB9">
                      <w:rPr>
                        <w:rFonts w:ascii="Noto Sans" w:hAnsi="Noto Sans" w:cs="Noto Sans"/>
                        <w:color w:val="4D182A"/>
                        <w:sz w:val="13"/>
                        <w:szCs w:val="13"/>
                      </w:rPr>
                      <w:t>Av. Normalistas No. 800, Colinas de La Normal, CP. 44270, Guadalajara, Jal., México. Tel: (33) 3345 5200 www.ciatej.mxt</w:t>
                    </w:r>
                  </w:p>
                  <w:p w14:paraId="59B15790" w14:textId="77777777" w:rsidR="007E184A" w:rsidRPr="00D30C72" w:rsidRDefault="007E184A" w:rsidP="007E184A">
                    <w:pPr>
                      <w:rPr>
                        <w:rFonts w:ascii="Noto Sans Medium" w:hAnsi="Noto Sans Medium" w:cs="Noto Sans Medium"/>
                        <w:color w:val="4D182A"/>
                        <w:sz w:val="13"/>
                        <w:szCs w:val="13"/>
                      </w:rPr>
                    </w:pPr>
                  </w:p>
                  <w:p w14:paraId="1DF66BD5" w14:textId="77777777" w:rsidR="00BF379D" w:rsidRPr="0066676F" w:rsidRDefault="00BF379D" w:rsidP="00BF379D">
                    <w:pPr>
                      <w:rPr>
                        <w:rFonts w:ascii="Noto Sans Medium" w:hAnsi="Noto Sans Medium" w:cs="Noto Sans Medium"/>
                        <w:color w:val="4D182A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B9B46" w14:textId="096BA830" w:rsidR="00904CC6" w:rsidRDefault="00B67AB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21FF935" wp14:editId="2265386C">
              <wp:simplePos x="0" y="0"/>
              <wp:positionH relativeFrom="column">
                <wp:posOffset>1162622</wp:posOffset>
              </wp:positionH>
              <wp:positionV relativeFrom="paragraph">
                <wp:posOffset>-432435</wp:posOffset>
              </wp:positionV>
              <wp:extent cx="5467020" cy="216602"/>
              <wp:effectExtent l="0" t="0" r="0" b="0"/>
              <wp:wrapNone/>
              <wp:docPr id="683274230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67020" cy="21660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68F381D" w14:textId="77777777" w:rsidR="00762CB9" w:rsidRPr="00762CB9" w:rsidRDefault="00762CB9" w:rsidP="00762CB9">
                          <w:pPr>
                            <w:rPr>
                              <w:rFonts w:ascii="Noto Sans" w:hAnsi="Noto Sans" w:cs="Noto Sans"/>
                              <w:color w:val="4D182A"/>
                              <w:sz w:val="13"/>
                              <w:szCs w:val="13"/>
                            </w:rPr>
                          </w:pPr>
                          <w:r w:rsidRPr="00762CB9">
                            <w:rPr>
                              <w:rFonts w:ascii="Noto Sans" w:hAnsi="Noto Sans" w:cs="Noto Sans"/>
                              <w:color w:val="4D182A"/>
                              <w:sz w:val="13"/>
                              <w:szCs w:val="13"/>
                            </w:rPr>
                            <w:t>Av. Normalistas No. 800, Colinas de La Normal, CP. 44270, Guadalajara, Jal., México. Tel: (33) 3345 5200 www.ciatej.mxt</w:t>
                          </w:r>
                        </w:p>
                        <w:p w14:paraId="18D71277" w14:textId="49F7C8FB" w:rsidR="00B87C85" w:rsidRPr="00D30C72" w:rsidRDefault="00B87C85" w:rsidP="00904CC6">
                          <w:pPr>
                            <w:rPr>
                              <w:rFonts w:ascii="Noto Sans Medium" w:hAnsi="Noto Sans Medium" w:cs="Noto Sans Medium"/>
                              <w:color w:val="4D18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1FF93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91.55pt;margin-top:-34.05pt;width:430.45pt;height:1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" filled="f" stroked="f" strokeweight=".5pt">
              <v:textbox>
                <w:txbxContent>
                  <w:p w14:paraId="168F381D" w14:textId="77777777" w:rsidR="00762CB9" w:rsidRPr="00762CB9" w:rsidRDefault="00762CB9" w:rsidP="00762CB9">
                    <w:pPr>
                      <w:rPr>
                        <w:rFonts w:ascii="Noto Sans" w:hAnsi="Noto Sans" w:cs="Noto Sans"/>
                        <w:color w:val="4D182A"/>
                        <w:sz w:val="13"/>
                        <w:szCs w:val="13"/>
                      </w:rPr>
                    </w:pPr>
                    <w:r w:rsidRPr="00762CB9">
                      <w:rPr>
                        <w:rFonts w:ascii="Noto Sans" w:hAnsi="Noto Sans" w:cs="Noto Sans"/>
                        <w:color w:val="4D182A"/>
                        <w:sz w:val="13"/>
                        <w:szCs w:val="13"/>
                      </w:rPr>
                      <w:t>Av. Normalistas No. 800, Colinas de La Normal, CP. 44270, Guadalajara, Jal., México. Tel: (33) 3345 5200 www.ciatej.mxt</w:t>
                    </w:r>
                  </w:p>
                  <w:p w14:paraId="18D71277" w14:textId="49F7C8FB" w:rsidR="00B87C85" w:rsidRPr="00D30C72" w:rsidRDefault="00B87C85" w:rsidP="00904CC6">
                    <w:pPr>
                      <w:rPr>
                        <w:rFonts w:ascii="Noto Sans Medium" w:hAnsi="Noto Sans Medium" w:cs="Noto Sans Medium"/>
                        <w:color w:val="4D182A"/>
                        <w:sz w:val="13"/>
                        <w:szCs w:val="13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6BE74" w14:textId="77777777" w:rsidR="0071645D" w:rsidRDefault="0071645D" w:rsidP="00A73D65">
      <w:r>
        <w:separator/>
      </w:r>
    </w:p>
  </w:footnote>
  <w:footnote w:type="continuationSeparator" w:id="0">
    <w:p w14:paraId="47571210" w14:textId="77777777" w:rsidR="0071645D" w:rsidRDefault="0071645D" w:rsidP="00A73D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10B2E" w14:textId="1C968C15" w:rsidR="003F49A8" w:rsidRDefault="003F49A8">
    <w:pPr>
      <w:pStyle w:val="Encabezado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0E47F35" wp14:editId="592103A5">
          <wp:simplePos x="0" y="0"/>
          <wp:positionH relativeFrom="column">
            <wp:posOffset>-1062882</wp:posOffset>
          </wp:positionH>
          <wp:positionV relativeFrom="paragraph">
            <wp:posOffset>-449580</wp:posOffset>
          </wp:positionV>
          <wp:extent cx="7761605" cy="10044430"/>
          <wp:effectExtent l="0" t="0" r="0" b="1270"/>
          <wp:wrapNone/>
          <wp:docPr id="10516916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1691621" name="Imagen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605" cy="10044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1E181" w14:textId="5F525454" w:rsidR="00A73D65" w:rsidRPr="00B67AB0" w:rsidRDefault="00B67AB0" w:rsidP="00B67AB0">
    <w:pPr>
      <w:pStyle w:val="Encabezado"/>
    </w:pPr>
    <w:r>
      <w:rPr>
        <w:noProof/>
      </w:rPr>
      <w:drawing>
        <wp:anchor distT="0" distB="0" distL="114300" distR="114300" simplePos="0" relativeHeight="251665408" behindDoc="1" locked="0" layoutInCell="1" allowOverlap="1" wp14:anchorId="747A1638" wp14:editId="2FA02340">
          <wp:simplePos x="0" y="0"/>
          <wp:positionH relativeFrom="column">
            <wp:posOffset>-1101075</wp:posOffset>
          </wp:positionH>
          <wp:positionV relativeFrom="paragraph">
            <wp:posOffset>-470520</wp:posOffset>
          </wp:positionV>
          <wp:extent cx="7800030" cy="10094156"/>
          <wp:effectExtent l="0" t="0" r="0" b="2540"/>
          <wp:wrapNone/>
          <wp:docPr id="830542335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0542335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0030" cy="100941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727279D"/>
    <w:multiLevelType w:val="hybridMultilevel"/>
    <w:tmpl w:val="A2B04D2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84E37CE"/>
    <w:multiLevelType w:val="hybridMultilevel"/>
    <w:tmpl w:val="221012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E3AA5"/>
    <w:multiLevelType w:val="hybridMultilevel"/>
    <w:tmpl w:val="139A6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DD6F72"/>
    <w:multiLevelType w:val="multilevel"/>
    <w:tmpl w:val="77F6B3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40A1EFE"/>
    <w:multiLevelType w:val="hybridMultilevel"/>
    <w:tmpl w:val="D23029E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1A0C19"/>
    <w:multiLevelType w:val="multilevel"/>
    <w:tmpl w:val="AB2A0E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B4CC654"/>
    <w:multiLevelType w:val="hybridMultilevel"/>
    <w:tmpl w:val="3F53E83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3FF97770"/>
    <w:multiLevelType w:val="hybridMultilevel"/>
    <w:tmpl w:val="98EAF8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64B8F0"/>
    <w:multiLevelType w:val="hybridMultilevel"/>
    <w:tmpl w:val="972E7A2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46C81FAA"/>
    <w:multiLevelType w:val="multilevel"/>
    <w:tmpl w:val="DB249B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25C5F49"/>
    <w:multiLevelType w:val="hybridMultilevel"/>
    <w:tmpl w:val="651439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0F314B"/>
    <w:multiLevelType w:val="multilevel"/>
    <w:tmpl w:val="7AD26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AC32381"/>
    <w:multiLevelType w:val="hybridMultilevel"/>
    <w:tmpl w:val="70FA9A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27238B"/>
    <w:multiLevelType w:val="hybridMultilevel"/>
    <w:tmpl w:val="787EF5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585813"/>
    <w:multiLevelType w:val="multilevel"/>
    <w:tmpl w:val="2DAA3C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6B57919"/>
    <w:multiLevelType w:val="hybridMultilevel"/>
    <w:tmpl w:val="0ADAC1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526019"/>
    <w:multiLevelType w:val="hybridMultilevel"/>
    <w:tmpl w:val="C6DEC7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6B387B"/>
    <w:multiLevelType w:val="hybridMultilevel"/>
    <w:tmpl w:val="35742A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4F5EE2"/>
    <w:multiLevelType w:val="hybridMultilevel"/>
    <w:tmpl w:val="3BF493AE"/>
    <w:lvl w:ilvl="0" w:tplc="AD425A58">
      <w:start w:val="1"/>
      <w:numFmt w:val="decimal"/>
      <w:lvlText w:val="%1."/>
      <w:lvlJc w:val="left"/>
      <w:pPr>
        <w:ind w:left="1347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7" w:hanging="360"/>
      </w:pPr>
    </w:lvl>
    <w:lvl w:ilvl="2" w:tplc="080A001B" w:tentative="1">
      <w:start w:val="1"/>
      <w:numFmt w:val="lowerRoman"/>
      <w:lvlText w:val="%3."/>
      <w:lvlJc w:val="right"/>
      <w:pPr>
        <w:ind w:left="2587" w:hanging="180"/>
      </w:pPr>
    </w:lvl>
    <w:lvl w:ilvl="3" w:tplc="080A000F" w:tentative="1">
      <w:start w:val="1"/>
      <w:numFmt w:val="decimal"/>
      <w:lvlText w:val="%4."/>
      <w:lvlJc w:val="left"/>
      <w:pPr>
        <w:ind w:left="3307" w:hanging="360"/>
      </w:pPr>
    </w:lvl>
    <w:lvl w:ilvl="4" w:tplc="080A0019" w:tentative="1">
      <w:start w:val="1"/>
      <w:numFmt w:val="lowerLetter"/>
      <w:lvlText w:val="%5."/>
      <w:lvlJc w:val="left"/>
      <w:pPr>
        <w:ind w:left="4027" w:hanging="360"/>
      </w:pPr>
    </w:lvl>
    <w:lvl w:ilvl="5" w:tplc="080A001B" w:tentative="1">
      <w:start w:val="1"/>
      <w:numFmt w:val="lowerRoman"/>
      <w:lvlText w:val="%6."/>
      <w:lvlJc w:val="right"/>
      <w:pPr>
        <w:ind w:left="4747" w:hanging="180"/>
      </w:pPr>
    </w:lvl>
    <w:lvl w:ilvl="6" w:tplc="080A000F" w:tentative="1">
      <w:start w:val="1"/>
      <w:numFmt w:val="decimal"/>
      <w:lvlText w:val="%7."/>
      <w:lvlJc w:val="left"/>
      <w:pPr>
        <w:ind w:left="5467" w:hanging="360"/>
      </w:pPr>
    </w:lvl>
    <w:lvl w:ilvl="7" w:tplc="080A0019" w:tentative="1">
      <w:start w:val="1"/>
      <w:numFmt w:val="lowerLetter"/>
      <w:lvlText w:val="%8."/>
      <w:lvlJc w:val="left"/>
      <w:pPr>
        <w:ind w:left="6187" w:hanging="360"/>
      </w:pPr>
    </w:lvl>
    <w:lvl w:ilvl="8" w:tplc="080A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19" w15:restartNumberingAfterBreak="0">
    <w:nsid w:val="799102EF"/>
    <w:multiLevelType w:val="hybridMultilevel"/>
    <w:tmpl w:val="892ABA3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1"/>
  </w:num>
  <w:num w:numId="4">
    <w:abstractNumId w:val="19"/>
  </w:num>
  <w:num w:numId="5">
    <w:abstractNumId w:val="8"/>
  </w:num>
  <w:num w:numId="6">
    <w:abstractNumId w:val="0"/>
  </w:num>
  <w:num w:numId="7">
    <w:abstractNumId w:val="6"/>
  </w:num>
  <w:num w:numId="8">
    <w:abstractNumId w:val="10"/>
  </w:num>
  <w:num w:numId="9">
    <w:abstractNumId w:val="12"/>
  </w:num>
  <w:num w:numId="10">
    <w:abstractNumId w:val="2"/>
  </w:num>
  <w:num w:numId="11">
    <w:abstractNumId w:val="7"/>
  </w:num>
  <w:num w:numId="12">
    <w:abstractNumId w:val="15"/>
  </w:num>
  <w:num w:numId="13">
    <w:abstractNumId w:val="13"/>
  </w:num>
  <w:num w:numId="14">
    <w:abstractNumId w:val="16"/>
  </w:num>
  <w:num w:numId="15">
    <w:abstractNumId w:val="11"/>
  </w:num>
  <w:num w:numId="16">
    <w:abstractNumId w:val="9"/>
  </w:num>
  <w:num w:numId="17">
    <w:abstractNumId w:val="5"/>
  </w:num>
  <w:num w:numId="18">
    <w:abstractNumId w:val="14"/>
  </w:num>
  <w:num w:numId="19">
    <w:abstractNumId w:val="3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16E"/>
    <w:rsid w:val="000016F7"/>
    <w:rsid w:val="00022CB2"/>
    <w:rsid w:val="00023AA0"/>
    <w:rsid w:val="00060F0A"/>
    <w:rsid w:val="000B284F"/>
    <w:rsid w:val="00156A3E"/>
    <w:rsid w:val="00161740"/>
    <w:rsid w:val="00180A38"/>
    <w:rsid w:val="0018431C"/>
    <w:rsid w:val="00184325"/>
    <w:rsid w:val="00245F66"/>
    <w:rsid w:val="00256B1D"/>
    <w:rsid w:val="002871E1"/>
    <w:rsid w:val="00287588"/>
    <w:rsid w:val="0029542D"/>
    <w:rsid w:val="002C293A"/>
    <w:rsid w:val="002D60F5"/>
    <w:rsid w:val="002E2142"/>
    <w:rsid w:val="002E2B5E"/>
    <w:rsid w:val="0030476A"/>
    <w:rsid w:val="00305182"/>
    <w:rsid w:val="003542BA"/>
    <w:rsid w:val="00363222"/>
    <w:rsid w:val="00370465"/>
    <w:rsid w:val="003D416E"/>
    <w:rsid w:val="003E1335"/>
    <w:rsid w:val="003F49A8"/>
    <w:rsid w:val="004027DE"/>
    <w:rsid w:val="004543B0"/>
    <w:rsid w:val="00454479"/>
    <w:rsid w:val="00477F45"/>
    <w:rsid w:val="004A4C4E"/>
    <w:rsid w:val="004B07B0"/>
    <w:rsid w:val="004D146C"/>
    <w:rsid w:val="004E5574"/>
    <w:rsid w:val="00582E02"/>
    <w:rsid w:val="005A1743"/>
    <w:rsid w:val="005C1A7C"/>
    <w:rsid w:val="005D14D4"/>
    <w:rsid w:val="005F3347"/>
    <w:rsid w:val="00626EE3"/>
    <w:rsid w:val="00631824"/>
    <w:rsid w:val="006322C1"/>
    <w:rsid w:val="0066676F"/>
    <w:rsid w:val="0067208B"/>
    <w:rsid w:val="00681882"/>
    <w:rsid w:val="006A0DFE"/>
    <w:rsid w:val="006C0425"/>
    <w:rsid w:val="006C3B4E"/>
    <w:rsid w:val="00714C0D"/>
    <w:rsid w:val="0071645D"/>
    <w:rsid w:val="00733712"/>
    <w:rsid w:val="007421E3"/>
    <w:rsid w:val="00762CB9"/>
    <w:rsid w:val="007738F7"/>
    <w:rsid w:val="0078195E"/>
    <w:rsid w:val="007B09D7"/>
    <w:rsid w:val="007B74AD"/>
    <w:rsid w:val="007D77D1"/>
    <w:rsid w:val="007E184A"/>
    <w:rsid w:val="007E2AC8"/>
    <w:rsid w:val="007E5888"/>
    <w:rsid w:val="00831EE7"/>
    <w:rsid w:val="00834146"/>
    <w:rsid w:val="00847993"/>
    <w:rsid w:val="008C0FE7"/>
    <w:rsid w:val="009012EE"/>
    <w:rsid w:val="00904CC6"/>
    <w:rsid w:val="009066A7"/>
    <w:rsid w:val="00906743"/>
    <w:rsid w:val="00907F1C"/>
    <w:rsid w:val="00932C27"/>
    <w:rsid w:val="00935609"/>
    <w:rsid w:val="00937456"/>
    <w:rsid w:val="00937C98"/>
    <w:rsid w:val="00942415"/>
    <w:rsid w:val="00973FB2"/>
    <w:rsid w:val="00976253"/>
    <w:rsid w:val="00991DCF"/>
    <w:rsid w:val="009C12D6"/>
    <w:rsid w:val="009F2BA1"/>
    <w:rsid w:val="00A0555C"/>
    <w:rsid w:val="00A07674"/>
    <w:rsid w:val="00A2021A"/>
    <w:rsid w:val="00A301D7"/>
    <w:rsid w:val="00A314BF"/>
    <w:rsid w:val="00A363E2"/>
    <w:rsid w:val="00A5108A"/>
    <w:rsid w:val="00A57FF1"/>
    <w:rsid w:val="00A73D65"/>
    <w:rsid w:val="00A9662E"/>
    <w:rsid w:val="00AB125D"/>
    <w:rsid w:val="00B21938"/>
    <w:rsid w:val="00B541BC"/>
    <w:rsid w:val="00B67AB0"/>
    <w:rsid w:val="00B72D65"/>
    <w:rsid w:val="00B87C85"/>
    <w:rsid w:val="00BB21A6"/>
    <w:rsid w:val="00BB2DFF"/>
    <w:rsid w:val="00BC43BD"/>
    <w:rsid w:val="00BC51E0"/>
    <w:rsid w:val="00BF379D"/>
    <w:rsid w:val="00BF68B8"/>
    <w:rsid w:val="00C02E98"/>
    <w:rsid w:val="00C1416F"/>
    <w:rsid w:val="00C23B9E"/>
    <w:rsid w:val="00C279A3"/>
    <w:rsid w:val="00C30849"/>
    <w:rsid w:val="00C465FE"/>
    <w:rsid w:val="00C62870"/>
    <w:rsid w:val="00C67047"/>
    <w:rsid w:val="00C80084"/>
    <w:rsid w:val="00C90CED"/>
    <w:rsid w:val="00CB7D4F"/>
    <w:rsid w:val="00CE2746"/>
    <w:rsid w:val="00CE3E99"/>
    <w:rsid w:val="00CF3975"/>
    <w:rsid w:val="00D055F5"/>
    <w:rsid w:val="00D1354D"/>
    <w:rsid w:val="00D30C72"/>
    <w:rsid w:val="00D84E05"/>
    <w:rsid w:val="00DB53A4"/>
    <w:rsid w:val="00DC18FA"/>
    <w:rsid w:val="00DE3FEC"/>
    <w:rsid w:val="00E155A4"/>
    <w:rsid w:val="00E5146D"/>
    <w:rsid w:val="00E809E4"/>
    <w:rsid w:val="00E93867"/>
    <w:rsid w:val="00EA423B"/>
    <w:rsid w:val="00EB407F"/>
    <w:rsid w:val="00EE053F"/>
    <w:rsid w:val="00F24915"/>
    <w:rsid w:val="00F26829"/>
    <w:rsid w:val="00F401F9"/>
    <w:rsid w:val="00F745B2"/>
    <w:rsid w:val="00F945F2"/>
    <w:rsid w:val="00FC34D9"/>
    <w:rsid w:val="00FD1854"/>
    <w:rsid w:val="00FD66C9"/>
    <w:rsid w:val="00FD754F"/>
    <w:rsid w:val="00FD75E1"/>
    <w:rsid w:val="00FF0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B1EA0C"/>
  <w15:chartTrackingRefBased/>
  <w15:docId w15:val="{0F17CD5A-1E39-D544-8E33-A6309B43A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es-ES"/>
    </w:rPr>
  </w:style>
  <w:style w:type="paragraph" w:styleId="Ttulo1">
    <w:name w:val="heading 1"/>
    <w:basedOn w:val="Normal"/>
    <w:link w:val="Ttulo1Car"/>
    <w:uiPriority w:val="9"/>
    <w:qFormat/>
    <w:rsid w:val="009012E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Ttulo2">
    <w:name w:val="heading 2"/>
    <w:basedOn w:val="Normal"/>
    <w:link w:val="Ttulo2Car"/>
    <w:uiPriority w:val="9"/>
    <w:qFormat/>
    <w:rsid w:val="009012E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MX" w:eastAsia="es-MX"/>
    </w:rPr>
  </w:style>
  <w:style w:type="paragraph" w:styleId="Ttulo3">
    <w:name w:val="heading 3"/>
    <w:basedOn w:val="Normal"/>
    <w:link w:val="Ttulo3Car"/>
    <w:uiPriority w:val="9"/>
    <w:qFormat/>
    <w:rsid w:val="009012E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3D6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3D65"/>
    <w:rPr>
      <w:rFonts w:eastAsiaTheme="minorEastAsi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73D6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3D65"/>
    <w:rPr>
      <w:rFonts w:eastAsiaTheme="minorEastAsia"/>
      <w:lang w:val="es-ES"/>
    </w:rPr>
  </w:style>
  <w:style w:type="paragraph" w:styleId="Prrafodelista">
    <w:name w:val="List Paragraph"/>
    <w:basedOn w:val="Normal"/>
    <w:uiPriority w:val="34"/>
    <w:qFormat/>
    <w:rsid w:val="003542BA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ipervnculo">
    <w:name w:val="Hyperlink"/>
    <w:basedOn w:val="Fuentedeprrafopredeter"/>
    <w:uiPriority w:val="99"/>
    <w:unhideWhenUsed/>
    <w:rsid w:val="003542BA"/>
    <w:rPr>
      <w:color w:val="0563C1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542BA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542BA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3542BA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4027DE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CE2746"/>
    <w:rPr>
      <w:rFonts w:eastAsiaTheme="minorEastAsia"/>
      <w:lang w:val="es-ES_tradnl" w:eastAsia="es-ES"/>
    </w:rPr>
  </w:style>
  <w:style w:type="table" w:styleId="Tablaconcuadrcula">
    <w:name w:val="Table Grid"/>
    <w:basedOn w:val="Tablanormal"/>
    <w:uiPriority w:val="59"/>
    <w:rsid w:val="00C80084"/>
    <w:rPr>
      <w:rFonts w:eastAsiaTheme="minorEastAsia"/>
      <w:sz w:val="22"/>
      <w:szCs w:val="22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demensaje">
    <w:name w:val="Message Header"/>
    <w:basedOn w:val="Textoindependiente"/>
    <w:link w:val="EncabezadodemensajeCar"/>
    <w:rsid w:val="00582E02"/>
    <w:pPr>
      <w:keepLines/>
      <w:spacing w:line="180" w:lineRule="atLeast"/>
      <w:ind w:left="1555" w:hanging="720"/>
    </w:pPr>
    <w:rPr>
      <w:rFonts w:ascii="Arial" w:eastAsia="Malgun Gothic" w:hAnsi="Arial" w:cs="Times New Roman"/>
      <w:spacing w:val="-5"/>
      <w:sz w:val="20"/>
      <w:szCs w:val="20"/>
    </w:rPr>
  </w:style>
  <w:style w:type="character" w:customStyle="1" w:styleId="EncabezadodemensajeCar">
    <w:name w:val="Encabezado de mensaje Car"/>
    <w:basedOn w:val="Fuentedeprrafopredeter"/>
    <w:link w:val="Encabezadodemensaje"/>
    <w:rsid w:val="00582E02"/>
    <w:rPr>
      <w:rFonts w:ascii="Arial" w:eastAsia="Malgun Gothic" w:hAnsi="Arial" w:cs="Times New Roman"/>
      <w:spacing w:val="-5"/>
      <w:sz w:val="20"/>
      <w:szCs w:val="20"/>
      <w:lang w:val="es-E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582E02"/>
    <w:pPr>
      <w:spacing w:before="220"/>
    </w:pPr>
  </w:style>
  <w:style w:type="character" w:customStyle="1" w:styleId="Rtulodeencabezadodemensaje">
    <w:name w:val="Rótulo de encabezado de mensaje"/>
    <w:rsid w:val="00582E02"/>
    <w:rPr>
      <w:rFonts w:ascii="Arial Black" w:hAnsi="Arial Black"/>
      <w:spacing w:val="-10"/>
      <w:sz w:val="18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582E02"/>
    <w:pPr>
      <w:pBdr>
        <w:bottom w:val="single" w:sz="6" w:space="15" w:color="auto"/>
      </w:pBdr>
      <w:spacing w:after="32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582E0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582E02"/>
    <w:rPr>
      <w:rFonts w:eastAsiaTheme="minorEastAsia"/>
      <w:lang w:val="es-ES"/>
    </w:rPr>
  </w:style>
  <w:style w:type="paragraph" w:customStyle="1" w:styleId="Default">
    <w:name w:val="Default"/>
    <w:rsid w:val="00E5146D"/>
    <w:pPr>
      <w:autoSpaceDE w:val="0"/>
      <w:autoSpaceDN w:val="0"/>
      <w:adjustRightInd w:val="0"/>
    </w:pPr>
    <w:rPr>
      <w:rFonts w:ascii="Noto Sans" w:hAnsi="Noto Sans" w:cs="Noto Sans"/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9012E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9012EE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9012EE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styleId="Textoennegrita">
    <w:name w:val="Strong"/>
    <w:basedOn w:val="Fuentedeprrafopredeter"/>
    <w:uiPriority w:val="22"/>
    <w:qFormat/>
    <w:rsid w:val="009012E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012E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character" w:styleId="nfasis">
    <w:name w:val="Emphasis"/>
    <w:basedOn w:val="Fuentedeprrafopredeter"/>
    <w:uiPriority w:val="20"/>
    <w:qFormat/>
    <w:rsid w:val="009012E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06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5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74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00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224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28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65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4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63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23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06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7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6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33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34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787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379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584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31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25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9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481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29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648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90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" w:color="FFFFFF"/>
                            <w:left w:val="single" w:sz="12" w:space="3" w:color="FFFFFF"/>
                            <w:bottom w:val="single" w:sz="12" w:space="3" w:color="FFFFFF"/>
                            <w:right w:val="single" w:sz="12" w:space="3" w:color="FFFFFF"/>
                          </w:divBdr>
                          <w:divsChild>
                            <w:div w:id="1454397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4979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" w:color="FFFFFF"/>
                            <w:left w:val="single" w:sz="12" w:space="3" w:color="FFFFFF"/>
                            <w:bottom w:val="single" w:sz="12" w:space="3" w:color="FFFFFF"/>
                            <w:right w:val="single" w:sz="12" w:space="3" w:color="FFFFFF"/>
                          </w:divBdr>
                          <w:divsChild>
                            <w:div w:id="161162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239528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2" w:color="FFFFFF"/>
                        <w:left w:val="single" w:sz="12" w:space="3" w:color="FFFFFF"/>
                        <w:bottom w:val="single" w:sz="12" w:space="2" w:color="FFFFFF"/>
                        <w:right w:val="single" w:sz="12" w:space="6" w:color="FFFFFF"/>
                      </w:divBdr>
                      <w:divsChild>
                        <w:div w:id="1112483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823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80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93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675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406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41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07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014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530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30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8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54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703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0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7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08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" w:color="FFFFFF"/>
                            <w:left w:val="single" w:sz="12" w:space="3" w:color="FFFFFF"/>
                            <w:bottom w:val="single" w:sz="12" w:space="3" w:color="FFFFFF"/>
                            <w:right w:val="single" w:sz="12" w:space="3" w:color="FFFFFF"/>
                          </w:divBdr>
                          <w:divsChild>
                            <w:div w:id="115337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067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" w:color="FFFFFF"/>
                            <w:left w:val="single" w:sz="12" w:space="3" w:color="FFFFFF"/>
                            <w:bottom w:val="single" w:sz="12" w:space="3" w:color="FFFFFF"/>
                            <w:right w:val="single" w:sz="12" w:space="3" w:color="FFFFFF"/>
                          </w:divBdr>
                          <w:divsChild>
                            <w:div w:id="148230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74194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2" w:color="FFFFFF"/>
                        <w:left w:val="single" w:sz="12" w:space="3" w:color="FFFFFF"/>
                        <w:bottom w:val="single" w:sz="12" w:space="2" w:color="FFFFFF"/>
                        <w:right w:val="single" w:sz="12" w:space="6" w:color="FFFFFF"/>
                      </w:divBdr>
                      <w:divsChild>
                        <w:div w:id="55574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547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8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28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202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iatej.mx/comprobantes/ENBC-ASA" TargetMode="Externa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1066</Words>
  <Characters>5868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Andrés Silva Páez</dc:creator>
  <cp:keywords/>
  <dc:description/>
  <cp:lastModifiedBy>Erika Nahomy Marino Marmolejo</cp:lastModifiedBy>
  <cp:revision>2</cp:revision>
  <cp:lastPrinted>2025-11-11T15:18:00Z</cp:lastPrinted>
  <dcterms:created xsi:type="dcterms:W3CDTF">2025-11-11T15:19:00Z</dcterms:created>
  <dcterms:modified xsi:type="dcterms:W3CDTF">2025-11-11T15:19:00Z</dcterms:modified>
</cp:coreProperties>
</file>