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1DD38CD5" w:rsidR="00F440B5" w:rsidRDefault="00046789">
      <w:pPr>
        <w:pStyle w:val="Ttulo2"/>
        <w:spacing w:line="259" w:lineRule="auto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GoBack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t>Congruencia entre el perfil de ingreso, el proceso de selección y el plan de estudios</w:t>
      </w:r>
    </w:p>
    <w:p w14:paraId="00000002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La Especialidad Nacional en Bienestar Comunitario en Agroecologías y Soberanía Alimentaria (ENBC-ASA) se erige como una respuesta educativa innovadora y estratégica a los mandatos de la Ley General de Educación Superior (LGES) y la Ley General en Materia d</w:t>
      </w:r>
      <w:r>
        <w:rPr>
          <w:rFonts w:ascii="Calibri" w:eastAsia="Calibri" w:hAnsi="Calibri" w:cs="Calibri"/>
          <w:color w:val="0F1115"/>
        </w:rPr>
        <w:t>e Humanidades, Ciencias, Tecnologías e Innovación (LGHCTI). Este documento evidencia la coherencia interna del programa y su compromiso con la equidad, detallando la idoneidad entre su perfil de ingreso, proceso de selección y plan de estudios, así como su</w:t>
      </w:r>
      <w:r>
        <w:rPr>
          <w:rFonts w:ascii="Calibri" w:eastAsia="Calibri" w:hAnsi="Calibri" w:cs="Calibri"/>
          <w:color w:val="0F1115"/>
        </w:rPr>
        <w:t xml:space="preserve"> contribución activa a la reducción de brechas de desigualdad y la mitigación del abandono escolar.</w:t>
      </w:r>
    </w:p>
    <w:p w14:paraId="00000003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</w:rPr>
      </w:pPr>
      <w:r>
        <w:rPr>
          <w:rFonts w:ascii="Calibri" w:eastAsia="Calibri" w:hAnsi="Calibri" w:cs="Calibri"/>
          <w:b/>
          <w:bCs/>
          <w:color w:val="0F1115"/>
        </w:rPr>
        <w:t>1. Pertinencia de los requisitos de ingreso con los objetivos del programa</w:t>
      </w:r>
    </w:p>
    <w:p w14:paraId="00000004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El perfil de ingreso de la ENBC-ASA está intrínsecamente alineado con su objetivo</w:t>
      </w:r>
      <w:r>
        <w:rPr>
          <w:rFonts w:ascii="Calibri" w:eastAsia="Calibri" w:hAnsi="Calibri" w:cs="Calibri"/>
          <w:color w:val="0F1115"/>
        </w:rPr>
        <w:t xml:space="preserve"> general de formar sujetos territoriales que impulsen la soberanía alimentaria mediante la Investigación Acción Participativa (IAP). Los requisitos reflejan una búsqueda deliberada de este perfil:</w:t>
      </w:r>
    </w:p>
    <w:p w14:paraId="00000005" w14:textId="77777777" w:rsidR="00F440B5" w:rsidRDefault="00046789">
      <w:pPr>
        <w:numPr>
          <w:ilvl w:val="0"/>
          <w:numId w:val="3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Enfoque en sectores subrepresentados y experiencia comunita</w:t>
      </w:r>
      <w:r>
        <w:rPr>
          <w:rFonts w:ascii="Calibri" w:eastAsia="Calibri" w:hAnsi="Calibri" w:cs="Calibri"/>
          <w:color w:val="0F1115"/>
        </w:rPr>
        <w:t>ria: La convocatoria prioriza a profesionales de sectores rurales, indígenas y urbanos marginados y de las periferias, y exige una Carta de Reconocimiento Comunitario. Esto asegura que el conocimiento se construya desde y para las bases sociales, materiali</w:t>
      </w:r>
      <w:r>
        <w:rPr>
          <w:rFonts w:ascii="Calibri" w:eastAsia="Calibri" w:hAnsi="Calibri" w:cs="Calibri"/>
          <w:color w:val="0F1115"/>
        </w:rPr>
        <w:t>zando el principio de la LGHCTI de integrar los saberes locales y comunitarios (Art. 11).</w:t>
      </w:r>
    </w:p>
    <w:p w14:paraId="00000006" w14:textId="77777777" w:rsidR="00F440B5" w:rsidRDefault="00046789">
      <w:pPr>
        <w:numPr>
          <w:ilvl w:val="0"/>
          <w:numId w:val="3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Afinidad disciplinaria amplia e inclusiva: Se aceptan licenciaturas desde agronomía hasta arte, reconociendo que las agroecologías son un campo socioecológico que req</w:t>
      </w:r>
      <w:r>
        <w:rPr>
          <w:rFonts w:ascii="Calibri" w:eastAsia="Calibri" w:hAnsi="Calibri" w:cs="Calibri"/>
          <w:color w:val="0F1115"/>
        </w:rPr>
        <w:t>uiere miradas interdisciplinarias, fomentando la convergencia de humanidades, ciencias y tecnologías.</w:t>
      </w:r>
    </w:p>
    <w:p w14:paraId="00000007" w14:textId="77777777" w:rsidR="00F440B5" w:rsidRDefault="00046789">
      <w:pPr>
        <w:numPr>
          <w:ilvl w:val="0"/>
          <w:numId w:val="3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Compromiso de tiempo completo y perspectiva de género: La carta compromiso y la integración transversal de la perspectiva de género garantizan la dedicaci</w:t>
      </w:r>
      <w:r>
        <w:rPr>
          <w:rFonts w:ascii="Calibri" w:eastAsia="Calibri" w:hAnsi="Calibri" w:cs="Calibri"/>
          <w:color w:val="0F1115"/>
        </w:rPr>
        <w:t>ón necesaria y una formación equitativa, alineándose con la Ley General de Educación.</w:t>
      </w:r>
    </w:p>
    <w:p w14:paraId="00000008" w14:textId="77777777" w:rsidR="00F440B5" w:rsidRDefault="00046789">
      <w:pPr>
        <w:shd w:val="clear" w:color="auto" w:fill="FFFFFF"/>
        <w:spacing w:before="3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 xml:space="preserve">La convocatoria del programa ENBC-ASA se puede consultar en el siguiente enlace: </w:t>
      </w:r>
    </w:p>
    <w:p w14:paraId="00000009" w14:textId="77777777" w:rsidR="00F440B5" w:rsidRDefault="00046789">
      <w:pPr>
        <w:shd w:val="clear" w:color="auto" w:fill="FFFFFF"/>
        <w:spacing w:before="340" w:after="240"/>
        <w:rPr>
          <w:rFonts w:ascii="Calibri" w:eastAsia="Calibri" w:hAnsi="Calibri" w:cs="Calibri"/>
          <w:color w:val="0F1115"/>
        </w:rPr>
      </w:pPr>
      <w:hyperlink r:id="rId7">
        <w:r>
          <w:rPr>
            <w:rFonts w:ascii="Calibri" w:eastAsia="Calibri" w:hAnsi="Calibri" w:cs="Calibri"/>
            <w:color w:val="1155CC"/>
            <w:u w:val="single"/>
          </w:rPr>
          <w:t>https://ciatej</w:t>
        </w:r>
        <w:r>
          <w:rPr>
            <w:rFonts w:ascii="Calibri" w:eastAsia="Calibri" w:hAnsi="Calibri" w:cs="Calibri"/>
            <w:color w:val="1155CC"/>
            <w:u w:val="single"/>
          </w:rPr>
          <w:t>.mx/estudia-ciatej/posgrados/pies_agiles</w:t>
        </w:r>
      </w:hyperlink>
      <w:r>
        <w:rPr>
          <w:rFonts w:ascii="Calibri" w:eastAsia="Calibri" w:hAnsi="Calibri" w:cs="Calibri"/>
          <w:color w:val="0F1115"/>
        </w:rPr>
        <w:t xml:space="preserve"> </w:t>
      </w:r>
      <w:r>
        <w:rPr>
          <w:rFonts w:ascii="Calibri" w:eastAsia="Calibri" w:hAnsi="Calibri" w:cs="Calibri"/>
          <w:color w:val="0F1115"/>
        </w:rPr>
        <w:t>🔗</w:t>
      </w:r>
    </w:p>
    <w:p w14:paraId="0000000A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</w:rPr>
      </w:pPr>
      <w:r>
        <w:rPr>
          <w:rFonts w:ascii="Calibri" w:eastAsia="Calibri" w:hAnsi="Calibri" w:cs="Calibri"/>
          <w:b/>
          <w:bCs/>
          <w:color w:val="0F1115"/>
        </w:rPr>
        <w:t>2. Contribución del proceso de selección a la diversidad y reducción de brechas</w:t>
      </w:r>
    </w:p>
    <w:p w14:paraId="0000000B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El proceso de selección opera como un mecanismo de justicia educativa y epistémica, diseñado para reducir las brechas de acceso al p</w:t>
      </w:r>
      <w:r>
        <w:rPr>
          <w:rFonts w:ascii="Calibri" w:eastAsia="Calibri" w:hAnsi="Calibri" w:cs="Calibri"/>
          <w:color w:val="0F1115"/>
        </w:rPr>
        <w:t>osgrado.</w:t>
      </w:r>
    </w:p>
    <w:p w14:paraId="0000000C" w14:textId="77777777" w:rsidR="00F440B5" w:rsidRDefault="00046789">
      <w:pPr>
        <w:numPr>
          <w:ilvl w:val="0"/>
          <w:numId w:val="11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Comité de selección especializado: Conformado por investigadores/as del SNII con experiencia en IAP, procesos comunitarios y agroecologías transformadoras, lo que garantiza una evaluación pertinente y contextualizada.</w:t>
      </w:r>
    </w:p>
    <w:p w14:paraId="0000000D" w14:textId="77777777" w:rsidR="00F440B5" w:rsidRDefault="00046789">
      <w:pPr>
        <w:numPr>
          <w:ilvl w:val="0"/>
          <w:numId w:val="11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Valoración de saberes no form</w:t>
      </w:r>
      <w:r>
        <w:rPr>
          <w:rFonts w:ascii="Calibri" w:eastAsia="Calibri" w:hAnsi="Calibri" w:cs="Calibri"/>
          <w:color w:val="0F1115"/>
        </w:rPr>
        <w:t xml:space="preserve">ales: Se priorizan las evidencias de trabajo comunitario (cartas, fotografías, proyectos) sobre exámenes estandarizados o promedios. Esto </w:t>
      </w:r>
      <w:r>
        <w:rPr>
          <w:rFonts w:ascii="Calibri" w:eastAsia="Calibri" w:hAnsi="Calibri" w:cs="Calibri"/>
          <w:color w:val="0F1115"/>
        </w:rPr>
        <w:lastRenderedPageBreak/>
        <w:t>democratiza el acceso para profesionales con saberes prácticos históricamente excluidos del sistema formal de ciencia.</w:t>
      </w:r>
    </w:p>
    <w:p w14:paraId="0000000E" w14:textId="77777777" w:rsidR="00F440B5" w:rsidRDefault="00046789">
      <w:pPr>
        <w:numPr>
          <w:ilvl w:val="0"/>
          <w:numId w:val="11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Proceso en dos fases:</w:t>
      </w:r>
    </w:p>
    <w:p w14:paraId="0000000F" w14:textId="77777777" w:rsidR="00F440B5" w:rsidRDefault="00046789">
      <w:pPr>
        <w:numPr>
          <w:ilvl w:val="1"/>
          <w:numId w:val="11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Revisión documental meticulosa: Verificación del cumplimiento integral de requisitos, validando la experiencia comunitaria.</w:t>
      </w:r>
    </w:p>
    <w:p w14:paraId="00000010" w14:textId="77777777" w:rsidR="00F440B5" w:rsidRDefault="00046789">
      <w:pPr>
        <w:numPr>
          <w:ilvl w:val="1"/>
          <w:numId w:val="11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Evaluación de trayectoria y potencial de impacto: El comité evalúa la participación activa en experiencias agroecológicas de base, priorizando la legitimidad territorial y el compromiso social a la par de criterios académicos tradicionales.</w:t>
      </w:r>
    </w:p>
    <w:p w14:paraId="00000011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Esta estrategia</w:t>
      </w:r>
      <w:r>
        <w:rPr>
          <w:rFonts w:ascii="Calibri" w:eastAsia="Calibri" w:hAnsi="Calibri" w:cs="Calibri"/>
          <w:color w:val="0F1115"/>
        </w:rPr>
        <w:t xml:space="preserve"> fortalece la diversidad en la matrícula al asegurar que sean admitidos aquellas personas con mayor potencial de impacto en sus territorios, sin que su origen o formación previa sea una barrera.</w:t>
      </w:r>
    </w:p>
    <w:p w14:paraId="00000012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</w:rPr>
      </w:pPr>
      <w:r>
        <w:rPr>
          <w:rFonts w:ascii="Calibri" w:eastAsia="Calibri" w:hAnsi="Calibri" w:cs="Calibri"/>
          <w:b/>
          <w:bCs/>
          <w:color w:val="0F1115"/>
        </w:rPr>
        <w:t>3. Consistencia de la orientación del programa con sus objeti</w:t>
      </w:r>
      <w:r>
        <w:rPr>
          <w:rFonts w:ascii="Calibri" w:eastAsia="Calibri" w:hAnsi="Calibri" w:cs="Calibri"/>
          <w:b/>
          <w:bCs/>
          <w:color w:val="0F1115"/>
        </w:rPr>
        <w:t>vos y necesidades locales</w:t>
      </w:r>
    </w:p>
    <w:p w14:paraId="00000013" w14:textId="77777777" w:rsidR="00F440B5" w:rsidRDefault="00046789">
      <w:pPr>
        <w:rPr>
          <w:rFonts w:ascii="Calibri" w:eastAsia="Calibri" w:hAnsi="Calibri" w:cs="Calibri"/>
          <w:color w:val="38761D"/>
        </w:rPr>
      </w:pPr>
      <w:r>
        <w:rPr>
          <w:rFonts w:ascii="Calibri" w:eastAsia="Calibri" w:hAnsi="Calibri" w:cs="Calibri"/>
        </w:rPr>
        <w:t xml:space="preserve">La consistencia del programa es notable y refleja el enfoque territorial y de innovación social que promueve la LGHCTI. </w:t>
      </w:r>
    </w:p>
    <w:p w14:paraId="00000014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consistencia del programa se materializa a través de un diseño pedagógico radicalmente centrado en el territorio, bajo la modalidad de aprendizaje basado en proyectos que se adapta a la diversidad cultural y a las realidades locales, priorizando estrate</w:t>
      </w:r>
      <w:r>
        <w:rPr>
          <w:rFonts w:ascii="Calibri" w:eastAsia="Calibri" w:hAnsi="Calibri" w:cs="Calibri"/>
        </w:rPr>
        <w:t>gias que garanticen la permanencia y la calidad educativa de las y los estudiantes. El núcleo es la Metodología de Investigación Acción Participativa (IAP). Este enfoque garantiza que la formación no sea abstracta, sino un proceso de co-aprendizaje y acció</w:t>
      </w:r>
      <w:r>
        <w:rPr>
          <w:rFonts w:ascii="Calibri" w:eastAsia="Calibri" w:hAnsi="Calibri" w:cs="Calibri"/>
        </w:rPr>
        <w:t>n directa que responde a las necesidades locales y regionales.</w:t>
      </w:r>
    </w:p>
    <w:p w14:paraId="00000015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a) La IAP como eje articulador del aprendizaje:</w:t>
      </w:r>
    </w:p>
    <w:p w14:paraId="00000016" w14:textId="77777777" w:rsidR="00F440B5" w:rsidRDefault="00046789">
      <w:pPr>
        <w:numPr>
          <w:ilvl w:val="0"/>
          <w:numId w:val="10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 xml:space="preserve">El plan de estudios está diseñado para que el conocimiento no sea </w:t>
      </w:r>
      <w:r>
        <w:rPr>
          <w:rFonts w:ascii="Calibri" w:eastAsia="Calibri" w:hAnsi="Calibri" w:cs="Calibri"/>
          <w:i/>
          <w:iCs/>
          <w:color w:val="0F1115"/>
        </w:rPr>
        <w:t>transferido</w:t>
      </w:r>
      <w:r>
        <w:rPr>
          <w:rFonts w:ascii="Calibri" w:eastAsia="Calibri" w:hAnsi="Calibri" w:cs="Calibri"/>
          <w:color w:val="0F1115"/>
        </w:rPr>
        <w:t>, sino co-construido. La IAP provee el marco metodológico para que l</w:t>
      </w:r>
      <w:r>
        <w:rPr>
          <w:rFonts w:ascii="Calibri" w:eastAsia="Calibri" w:hAnsi="Calibri" w:cs="Calibri"/>
          <w:color w:val="0F1115"/>
        </w:rPr>
        <w:t xml:space="preserve">as y los estudiantes, junto con sus Comunidades de Aprendizaje (COA), diagnostiquen, analicen y actúen sobre problemáticas reales de sus territorios. Esto asegura que la formación sea un diálogo permanente entre el saber científico-académico y los saberes </w:t>
      </w:r>
      <w:r>
        <w:rPr>
          <w:rFonts w:ascii="Calibri" w:eastAsia="Calibri" w:hAnsi="Calibri" w:cs="Calibri"/>
          <w:color w:val="0F1115"/>
        </w:rPr>
        <w:t>locales y comunitarios.</w:t>
      </w:r>
    </w:p>
    <w:p w14:paraId="00000017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b) Integración de voces y actores claves del territorio:</w:t>
      </w:r>
    </w:p>
    <w:p w14:paraId="00000018" w14:textId="77777777" w:rsidR="00F440B5" w:rsidRDefault="00046789">
      <w:pPr>
        <w:numPr>
          <w:ilvl w:val="0"/>
          <w:numId w:val="5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El proceso formativo exige y facilita la vinculación constante con actores claves e instituciones locales (organizaciones de productores/as, cooperativas, autoridades comunita</w:t>
      </w:r>
      <w:r>
        <w:rPr>
          <w:rFonts w:ascii="Calibri" w:eastAsia="Calibri" w:hAnsi="Calibri" w:cs="Calibri"/>
          <w:color w:val="0F1115"/>
        </w:rPr>
        <w:t>rias, dependencias de gobierno local). Esta integración es fundamental para enriquecer el análisis, validar los avances y asegurar que los proyectos tengan raíces profundas en el contexto social e institucional que buscan transformar.</w:t>
      </w:r>
    </w:p>
    <w:p w14:paraId="00000019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c) Formación de capac</w:t>
      </w:r>
      <w:r>
        <w:rPr>
          <w:rFonts w:ascii="Calibri" w:eastAsia="Calibri" w:hAnsi="Calibri" w:cs="Calibri"/>
          <w:color w:val="0F1115"/>
        </w:rPr>
        <w:t>idades para la incidencia a largo plazo:</w:t>
      </w:r>
    </w:p>
    <w:p w14:paraId="0000001A" w14:textId="77777777" w:rsidR="00F440B5" w:rsidRDefault="00046789">
      <w:pPr>
        <w:numPr>
          <w:ilvl w:val="0"/>
          <w:numId w:val="4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El objetivo último no es la adquisición de conocimientos técnicos aislados, sino la formación de capacidades integrales para que las y los estudiantes se consoliden como sujetos territoriales de incidencia. El progr</w:t>
      </w:r>
      <w:r>
        <w:rPr>
          <w:rFonts w:ascii="Calibri" w:eastAsia="Calibri" w:hAnsi="Calibri" w:cs="Calibri"/>
          <w:color w:val="0F1115"/>
        </w:rPr>
        <w:t xml:space="preserve">ama les permite adquirir capacidades y herramientas para la facilitación de procesos comunitarios, la negociación, la gestión de recursos y el diseño de </w:t>
      </w:r>
      <w:r>
        <w:rPr>
          <w:rFonts w:ascii="Calibri" w:eastAsia="Calibri" w:hAnsi="Calibri" w:cs="Calibri"/>
          <w:color w:val="0F1115"/>
        </w:rPr>
        <w:lastRenderedPageBreak/>
        <w:t>políticas públicas locales, posicionándolos como sujetos territoriales capaces de impulsar la transició</w:t>
      </w:r>
      <w:r>
        <w:rPr>
          <w:rFonts w:ascii="Calibri" w:eastAsia="Calibri" w:hAnsi="Calibri" w:cs="Calibri"/>
          <w:color w:val="0F1115"/>
        </w:rPr>
        <w:t>n agroecológica y la soberanía alimentaria como procesos de mediano y largo plazo.</w:t>
      </w:r>
    </w:p>
    <w:p w14:paraId="0000001B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d) Pertinencia y adaptación a las necesidades regionales:</w:t>
      </w:r>
    </w:p>
    <w:p w14:paraId="0000001C" w14:textId="77777777" w:rsidR="00F440B5" w:rsidRDefault="00046789">
      <w:pPr>
        <w:numPr>
          <w:ilvl w:val="0"/>
          <w:numId w:val="7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La estructura del plan de estudios es lo suficientemente flexible para que cada estudiante, con su COA, defina la p</w:t>
      </w:r>
      <w:r>
        <w:rPr>
          <w:rFonts w:ascii="Calibri" w:eastAsia="Calibri" w:hAnsi="Calibri" w:cs="Calibri"/>
          <w:color w:val="0F1115"/>
        </w:rPr>
        <w:t>roblemática central a abordar. Esto garantiza que el programa no imponga una agenda única, sino que se adapte y responda a las prioridades específicas de cada socio-ecosistema, ya sea en contextos rurales, periurbanos o urbanos, fortaleciendo así su releva</w:t>
      </w:r>
      <w:r>
        <w:rPr>
          <w:rFonts w:ascii="Calibri" w:eastAsia="Calibri" w:hAnsi="Calibri" w:cs="Calibri"/>
          <w:color w:val="0F1115"/>
        </w:rPr>
        <w:t>ncia y incidencia  directa.</w:t>
      </w:r>
    </w:p>
    <w:p w14:paraId="0000001D" w14:textId="77777777" w:rsidR="00F440B5" w:rsidRDefault="00F440B5">
      <w:pPr>
        <w:shd w:val="clear" w:color="auto" w:fill="FFFFFF"/>
        <w:spacing w:before="340" w:after="240"/>
        <w:ind w:left="720"/>
        <w:rPr>
          <w:rFonts w:ascii="Calibri" w:eastAsia="Calibri" w:hAnsi="Calibri" w:cs="Calibri"/>
          <w:color w:val="0F1115"/>
        </w:rPr>
      </w:pPr>
    </w:p>
    <w:p w14:paraId="0000001E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b/>
          <w:bCs/>
          <w:color w:val="0F1115"/>
        </w:rPr>
        <w:t>4. Relación de los trabajos de titulación con los objetivos del programa</w:t>
      </w:r>
    </w:p>
    <w:p w14:paraId="0000001F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El trabajo de titulación de la ENBC-ASA es la materialización última y la evidencia integral del cumplimiento de sus objetivos. No se trata de una tesis académica convencional, sino de la construcción de una Propuesta Territorial de Bienestar Comunitario (</w:t>
      </w:r>
      <w:r>
        <w:rPr>
          <w:rFonts w:ascii="Calibri" w:eastAsia="Calibri" w:hAnsi="Calibri" w:cs="Calibri"/>
          <w:color w:val="0F1115"/>
        </w:rPr>
        <w:t>PTBC), un documento vivo que es, en sí mismo, un ejercicio de soberanía cognitiva y un plan de incidencia a mediano y largo plazo.</w:t>
      </w:r>
    </w:p>
    <w:p w14:paraId="00000020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a) La PTBC como herramienta viva de incidencia y sistematización:</w:t>
      </w:r>
    </w:p>
    <w:p w14:paraId="00000021" w14:textId="77777777" w:rsidR="00F440B5" w:rsidRDefault="00046789">
      <w:pPr>
        <w:numPr>
          <w:ilvl w:val="0"/>
          <w:numId w:val="2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La propuesta es un ejercicio colectivo de organización y pa</w:t>
      </w:r>
      <w:r>
        <w:rPr>
          <w:rFonts w:ascii="Calibri" w:eastAsia="Calibri" w:hAnsi="Calibri" w:cs="Calibri"/>
          <w:color w:val="0F1115"/>
        </w:rPr>
        <w:t>rticipación comunitaria, fruto del caminar conjunto con una COA. Su propósito es fortalecer y articular capacidades locales para la territorialización de las agroecologías y la soberanía alimentaria. No es un proyecto cerrado, sino una herramienta viva y u</w:t>
      </w:r>
      <w:r>
        <w:rPr>
          <w:rFonts w:ascii="Calibri" w:eastAsia="Calibri" w:hAnsi="Calibri" w:cs="Calibri"/>
          <w:color w:val="0F1115"/>
        </w:rPr>
        <w:t>na guía situada que sistematiza aprendizajes, visibiliza metodologías exitosas y se constituye como una narrativa para la incidencia política y social en el territorio.</w:t>
      </w:r>
    </w:p>
    <w:p w14:paraId="00000022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b) Un proceso co-constructivo que rechaza el extractivismo académico:</w:t>
      </w:r>
    </w:p>
    <w:p w14:paraId="00000023" w14:textId="77777777" w:rsidR="00F440B5" w:rsidRDefault="00046789">
      <w:pPr>
        <w:numPr>
          <w:ilvl w:val="0"/>
          <w:numId w:val="1"/>
        </w:numPr>
        <w:shd w:val="clear" w:color="auto" w:fill="FFFFFF"/>
        <w:spacing w:before="240"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La construcción d</w:t>
      </w:r>
      <w:r>
        <w:rPr>
          <w:rFonts w:ascii="Calibri" w:eastAsia="Calibri" w:hAnsi="Calibri" w:cs="Calibri"/>
          <w:color w:val="0F1115"/>
        </w:rPr>
        <w:t>e la PTBC se realiza de manera colectiva con la COA, aliados territoriales y las redes del programa. Este proceso se basa en el aprendizaje vivencial y la co-construcción metodológica, garantizando que la propuesta esté arraigada en la realidad. Por su nat</w:t>
      </w:r>
      <w:r>
        <w:rPr>
          <w:rFonts w:ascii="Calibri" w:eastAsia="Calibri" w:hAnsi="Calibri" w:cs="Calibri"/>
          <w:color w:val="0F1115"/>
        </w:rPr>
        <w:t>uraleza, rechaza la estandarización y el extractivismo del conocimiento, ya que las ‘mejores prácticas’ son definidas por la propia comunidad a partir del diálogo entre saberes críticos y locales. Aunado a ello, hay un proceso de devolución de la experienc</w:t>
      </w:r>
      <w:r>
        <w:rPr>
          <w:rFonts w:ascii="Calibri" w:eastAsia="Calibri" w:hAnsi="Calibri" w:cs="Calibri"/>
          <w:color w:val="0F1115"/>
        </w:rPr>
        <w:t>ia vivida a la COA, invitando a la reflexión de los hallazgos y la propuesta de acción para el trabajo posterior que permita que el proceso de investigación se lleve a cabo desde la autogestión y posterior al proceso de investigación de las y los estudiant</w:t>
      </w:r>
      <w:r>
        <w:rPr>
          <w:rFonts w:ascii="Calibri" w:eastAsia="Calibri" w:hAnsi="Calibri" w:cs="Calibri"/>
          <w:color w:val="0F1115"/>
        </w:rPr>
        <w:t xml:space="preserve">es. </w:t>
      </w:r>
    </w:p>
    <w:p w14:paraId="00000024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c) Integración de componentes clave para la transición agroecológica:</w:t>
      </w:r>
    </w:p>
    <w:p w14:paraId="00000025" w14:textId="77777777" w:rsidR="00F440B5" w:rsidRDefault="00046789">
      <w:pPr>
        <w:numPr>
          <w:ilvl w:val="0"/>
          <w:numId w:val="8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La PTBC es la herramienta que integra y da sentido a todos los aprendizajes del programa. Su estructura permite sistematizar de manera creativa los componentes fundamentales de un p</w:t>
      </w:r>
      <w:r>
        <w:rPr>
          <w:rFonts w:ascii="Calibri" w:eastAsia="Calibri" w:hAnsi="Calibri" w:cs="Calibri"/>
          <w:color w:val="0F1115"/>
        </w:rPr>
        <w:t>roceso territorial, incluyendo:</w:t>
      </w:r>
    </w:p>
    <w:p w14:paraId="00000026" w14:textId="77777777" w:rsidR="00F440B5" w:rsidRDefault="00046789">
      <w:pPr>
        <w:numPr>
          <w:ilvl w:val="1"/>
          <w:numId w:val="8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Una cartografía crítica del territorio vivenciado</w:t>
      </w:r>
    </w:p>
    <w:p w14:paraId="00000027" w14:textId="77777777" w:rsidR="00F440B5" w:rsidRDefault="00046789">
      <w:pPr>
        <w:numPr>
          <w:ilvl w:val="1"/>
          <w:numId w:val="8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lastRenderedPageBreak/>
        <w:t>Un protocolo de transición agroecológica (Rediseño de Agroecosistemas y Prácticas de Innovación - RAPI).</w:t>
      </w:r>
    </w:p>
    <w:p w14:paraId="00000028" w14:textId="77777777" w:rsidR="00F440B5" w:rsidRDefault="00046789">
      <w:pPr>
        <w:numPr>
          <w:ilvl w:val="1"/>
          <w:numId w:val="8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Acuerdos de cuidado y gestión participativa</w:t>
      </w:r>
    </w:p>
    <w:p w14:paraId="00000029" w14:textId="77777777" w:rsidR="00F440B5" w:rsidRDefault="00046789">
      <w:pPr>
        <w:numPr>
          <w:ilvl w:val="1"/>
          <w:numId w:val="8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Un archivo vivo de aprend</w:t>
      </w:r>
      <w:r>
        <w:rPr>
          <w:rFonts w:ascii="Calibri" w:eastAsia="Calibri" w:hAnsi="Calibri" w:cs="Calibri"/>
          <w:color w:val="0F1115"/>
        </w:rPr>
        <w:t>izajes significativos</w:t>
      </w:r>
    </w:p>
    <w:p w14:paraId="0000002A" w14:textId="77777777" w:rsidR="00F440B5" w:rsidRDefault="00046789">
      <w:pPr>
        <w:numPr>
          <w:ilvl w:val="1"/>
          <w:numId w:val="8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Un telar de alianzas y conflictos para la incidencia</w:t>
      </w:r>
    </w:p>
    <w:p w14:paraId="0000002B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d) Vinculación directa con los objetivos del programa:</w:t>
      </w:r>
    </w:p>
    <w:p w14:paraId="0000002C" w14:textId="77777777" w:rsidR="00F440B5" w:rsidRDefault="00046789">
      <w:pPr>
        <w:numPr>
          <w:ilvl w:val="0"/>
          <w:numId w:val="6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Este trabajo de titulación se relaciona directamente con los objetivos del programa al:</w:t>
      </w:r>
    </w:p>
    <w:p w14:paraId="0000002D" w14:textId="77777777" w:rsidR="00F440B5" w:rsidRDefault="00046789">
      <w:pPr>
        <w:numPr>
          <w:ilvl w:val="1"/>
          <w:numId w:val="6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Suprimir la dependencia tecnológica a través del diseño de protocolos de transición agroecológica contextualizados (RAPI).</w:t>
      </w:r>
    </w:p>
    <w:p w14:paraId="0000002E" w14:textId="77777777" w:rsidR="00F440B5" w:rsidRDefault="00046789">
      <w:pPr>
        <w:numPr>
          <w:ilvl w:val="1"/>
          <w:numId w:val="6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Impulsar modelos agroecológicos que promuevan la riqueza cultural-ambiental, partiendo de las potencias y necesidades identificadas e</w:t>
      </w:r>
      <w:r>
        <w:rPr>
          <w:rFonts w:ascii="Calibri" w:eastAsia="Calibri" w:hAnsi="Calibri" w:cs="Calibri"/>
          <w:color w:val="0F1115"/>
        </w:rPr>
        <w:t>n el territorio.</w:t>
      </w:r>
    </w:p>
    <w:p w14:paraId="0000002F" w14:textId="77777777" w:rsidR="00F440B5" w:rsidRDefault="00046789">
      <w:pPr>
        <w:numPr>
          <w:ilvl w:val="1"/>
          <w:numId w:val="6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Atender problemáticas regionales específicas mediante una propuesta que nace del análisis de la memoria histórica y la proyección de futuros posibles para el socio-ecosistema.</w:t>
      </w:r>
    </w:p>
    <w:p w14:paraId="00000030" w14:textId="77777777" w:rsidR="00F440B5" w:rsidRDefault="00046789">
      <w:pPr>
        <w:numPr>
          <w:ilvl w:val="1"/>
          <w:numId w:val="6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Fortalecer a los sujetos territoriales al convertirlos en facil</w:t>
      </w:r>
      <w:r>
        <w:rPr>
          <w:rFonts w:ascii="Calibri" w:eastAsia="Calibri" w:hAnsi="Calibri" w:cs="Calibri"/>
          <w:color w:val="0F1115"/>
        </w:rPr>
        <w:t>itadores de un proceso de planificación colectiva que fortalece la soberanía alimentaria y el bienestar comunitario.</w:t>
      </w:r>
    </w:p>
    <w:p w14:paraId="00000031" w14:textId="77777777" w:rsidR="00F440B5" w:rsidRDefault="00046789">
      <w:pPr>
        <w:shd w:val="clear" w:color="auto" w:fill="FFFFFF"/>
        <w:spacing w:before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En conclusión, el trabajo de titulación es mucho más que un requisito de grado, es la cristalización del compromiso del programa con la IAP y la prueba fehaciente de que la formación ha logrado crear capacidades para la transformación socioecológica en los</w:t>
      </w:r>
      <w:r>
        <w:rPr>
          <w:rFonts w:ascii="Calibri" w:eastAsia="Calibri" w:hAnsi="Calibri" w:cs="Calibri"/>
          <w:color w:val="0F1115"/>
        </w:rPr>
        <w:t xml:space="preserve"> territorios.</w:t>
      </w:r>
    </w:p>
    <w:p w14:paraId="00000032" w14:textId="77777777" w:rsidR="00F440B5" w:rsidRDefault="00046789">
      <w:pPr>
        <w:shd w:val="clear" w:color="auto" w:fill="FFFFFF"/>
        <w:spacing w:before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 xml:space="preserve">La guía para la construcción del trabajo final para estudiantes se puede consultar vía este enlace: </w:t>
      </w:r>
    </w:p>
    <w:p w14:paraId="00000033" w14:textId="77777777" w:rsidR="00F440B5" w:rsidRDefault="00046789">
      <w:pPr>
        <w:shd w:val="clear" w:color="auto" w:fill="FFFFFF"/>
        <w:spacing w:before="240"/>
        <w:rPr>
          <w:rFonts w:ascii="Calibri" w:eastAsia="Calibri" w:hAnsi="Calibri" w:cs="Calibri"/>
          <w:color w:val="0F1115"/>
        </w:rPr>
      </w:pPr>
      <w:hyperlink r:id="rId8">
        <w:r>
          <w:rPr>
            <w:rFonts w:ascii="Calibri" w:eastAsia="Calibri" w:hAnsi="Calibri" w:cs="Calibri"/>
            <w:color w:val="0000EE"/>
            <w:u w:val="single"/>
          </w:rPr>
          <w:t>Guía para la construcción del trabajo f</w:t>
        </w:r>
        <w:r>
          <w:rPr>
            <w:rFonts w:ascii="Calibri" w:eastAsia="Calibri" w:hAnsi="Calibri" w:cs="Calibri"/>
            <w:color w:val="0000EE"/>
            <w:u w:val="single"/>
          </w:rPr>
          <w:t>inal ENBC-ASA.pdf</w:t>
        </w:r>
      </w:hyperlink>
    </w:p>
    <w:p w14:paraId="00000034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</w:rPr>
      </w:pPr>
      <w:r>
        <w:rPr>
          <w:rFonts w:ascii="Calibri" w:eastAsia="Calibri" w:hAnsi="Calibri" w:cs="Calibri"/>
          <w:b/>
          <w:bCs/>
          <w:color w:val="0F1115"/>
        </w:rPr>
        <w:t>5. Elemento diferenciador y de relevancia nacional</w:t>
      </w:r>
    </w:p>
    <w:p w14:paraId="00000035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color w:val="0F1115"/>
        </w:rPr>
      </w:pPr>
      <w:r>
        <w:rPr>
          <w:rFonts w:ascii="Calibri" w:eastAsia="Calibri" w:hAnsi="Calibri" w:cs="Calibri"/>
          <w:color w:val="0F1115"/>
        </w:rPr>
        <w:t>Reconociendo la existencia de especialidades técnicas en agroecologías y desarrollo rural en el país, la ENBC-ASA se distingue al trascender el enfoque meramente productivo y biofísico. S</w:t>
      </w:r>
      <w:r>
        <w:rPr>
          <w:rFonts w:ascii="Calibri" w:eastAsia="Calibri" w:hAnsi="Calibri" w:cs="Calibri"/>
          <w:color w:val="0F1115"/>
        </w:rPr>
        <w:t xml:space="preserve">u valor agregado no está en enseñar </w:t>
      </w:r>
      <w:r>
        <w:rPr>
          <w:rFonts w:ascii="Calibri" w:eastAsia="Calibri" w:hAnsi="Calibri" w:cs="Calibri"/>
          <w:i/>
          <w:iCs/>
          <w:color w:val="0F1115"/>
        </w:rPr>
        <w:t>cómo</w:t>
      </w:r>
      <w:r>
        <w:rPr>
          <w:rFonts w:ascii="Calibri" w:eastAsia="Calibri" w:hAnsi="Calibri" w:cs="Calibri"/>
          <w:color w:val="0F1115"/>
        </w:rPr>
        <w:t xml:space="preserve"> producir de manera sustentable, sino en cómo co-construir, desde la IAP, los procesos comunitarios que llevan a la soberanía alimentaria y al bienestar colectivo. Al requerir una carta de reconocimiento comunitario </w:t>
      </w:r>
      <w:r>
        <w:rPr>
          <w:rFonts w:ascii="Calibri" w:eastAsia="Calibri" w:hAnsi="Calibri" w:cs="Calibri"/>
          <w:color w:val="0F1115"/>
        </w:rPr>
        <w:t>como principal filtro, asegura que el conocimiento generado no se quede en un manual técnico, sino que se traduzca en una Propuesta Territorial de Bienestar Comunitario legítima y accionable. Por ello, la ENBC-ASA viene a llenar un vacío crítico en la ofer</w:t>
      </w:r>
      <w:r>
        <w:rPr>
          <w:rFonts w:ascii="Calibri" w:eastAsia="Calibri" w:hAnsi="Calibri" w:cs="Calibri"/>
          <w:color w:val="0F1115"/>
        </w:rPr>
        <w:t>ta educativa nacional: una especialidad que pone la ciencia y la tecnología al servicio de la organización y la gestión comunitaria.</w:t>
      </w:r>
    </w:p>
    <w:p w14:paraId="00000036" w14:textId="77777777" w:rsidR="00F440B5" w:rsidRDefault="00046789">
      <w:pPr>
        <w:numPr>
          <w:ilvl w:val="0"/>
          <w:numId w:val="9"/>
        </w:numPr>
        <w:shd w:val="clear" w:color="auto" w:fill="FFFFFF"/>
        <w:spacing w:before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>Tránsito de la técnica a la transformación socioecológica: Mientras otras especialidades forman técnicos para optimizar agr</w:t>
      </w:r>
      <w:r>
        <w:rPr>
          <w:rFonts w:ascii="Calibri" w:eastAsia="Calibri" w:hAnsi="Calibri" w:cs="Calibri"/>
          <w:color w:val="0F1115"/>
        </w:rPr>
        <w:t>oecosistemas, la ENBC-ASA forma sujetos territoriales para la transformación de los socio-ecosistemas. Su fin no es solo la sustentabilidad, sino el bienestar comunitario.</w:t>
      </w:r>
    </w:p>
    <w:p w14:paraId="00000037" w14:textId="77777777" w:rsidR="00F440B5" w:rsidRDefault="00046789">
      <w:pPr>
        <w:numPr>
          <w:ilvl w:val="0"/>
          <w:numId w:val="9"/>
        </w:numPr>
        <w:shd w:val="clear" w:color="auto" w:fill="FFFFFF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t xml:space="preserve">Metodología centrada en la cocreación: Su columna vertebral es la IAP, posicionando </w:t>
      </w:r>
      <w:r>
        <w:rPr>
          <w:rFonts w:ascii="Calibri" w:eastAsia="Calibri" w:hAnsi="Calibri" w:cs="Calibri"/>
          <w:color w:val="0F1115"/>
        </w:rPr>
        <w:t>a la comunidad como sujeto colectivo de conocimiento, no como objeto de estudio.</w:t>
      </w:r>
    </w:p>
    <w:p w14:paraId="00000038" w14:textId="77777777" w:rsidR="00F440B5" w:rsidRDefault="00046789">
      <w:pPr>
        <w:numPr>
          <w:ilvl w:val="0"/>
          <w:numId w:val="9"/>
        </w:numPr>
        <w:shd w:val="clear" w:color="auto" w:fill="FFFFFF"/>
        <w:spacing w:after="24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F1115"/>
        </w:rPr>
        <w:lastRenderedPageBreak/>
        <w:t>Democratización radical del acceso: Al valorar el reconocimiento comunitario como principal criterio de mérito, ejecuta una política de discriminación positiva que lleva el po</w:t>
      </w:r>
      <w:r>
        <w:rPr>
          <w:rFonts w:ascii="Calibri" w:eastAsia="Calibri" w:hAnsi="Calibri" w:cs="Calibri"/>
          <w:color w:val="0F1115"/>
        </w:rPr>
        <w:t>sgrado a territorios y actores históricamente desconectados de la educación superior, contribuyendo a la desconcentración territorial de la ciencia.</w:t>
      </w:r>
    </w:p>
    <w:p w14:paraId="00000039" w14:textId="77777777" w:rsidR="00F440B5" w:rsidRDefault="00F440B5">
      <w:pPr>
        <w:shd w:val="clear" w:color="auto" w:fill="FFFFFF"/>
        <w:spacing w:before="340" w:after="240"/>
        <w:rPr>
          <w:rFonts w:ascii="Calibri" w:eastAsia="Calibri" w:hAnsi="Calibri" w:cs="Calibri"/>
          <w:color w:val="0F1115"/>
        </w:rPr>
      </w:pPr>
    </w:p>
    <w:p w14:paraId="0000003A" w14:textId="77777777" w:rsidR="00F440B5" w:rsidRDefault="00046789">
      <w:pPr>
        <w:shd w:val="clear" w:color="auto" w:fill="FFFFFF"/>
        <w:spacing w:before="240" w:after="240"/>
        <w:rPr>
          <w:rFonts w:ascii="Calibri" w:eastAsia="Calibri" w:hAnsi="Calibri" w:cs="Calibri"/>
          <w:b/>
          <w:bCs/>
          <w:color w:val="0F1115"/>
        </w:rPr>
      </w:pPr>
      <w:r>
        <w:rPr>
          <w:rFonts w:ascii="Calibri" w:eastAsia="Calibri" w:hAnsi="Calibri" w:cs="Calibri"/>
          <w:b/>
          <w:bCs/>
          <w:color w:val="0F1115"/>
        </w:rPr>
        <w:t>Conclusión</w:t>
      </w:r>
    </w:p>
    <w:p w14:paraId="0000003B" w14:textId="77777777" w:rsidR="00F440B5" w:rsidRDefault="0004678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La ENBC-ASA presenta una coherencia en su diseño, que no sólo es interna, sino que está estraté</w:t>
      </w:r>
      <w:r>
        <w:rPr>
          <w:rFonts w:ascii="Calibri" w:eastAsia="Calibri" w:hAnsi="Calibri" w:cs="Calibri"/>
        </w:rPr>
        <w:t>gicamente alineada con el nuevo paradigma de la Ley General en Materia de Humanidades, Ciencias, Tecnologías e Innovación (LGHCTI). El programa es un ejemplo tangible de cómo formar agentes de cambio que, desde los territorios, contribuyan a construir un s</w:t>
      </w:r>
      <w:r>
        <w:rPr>
          <w:rFonts w:ascii="Calibri" w:eastAsia="Calibri" w:hAnsi="Calibri" w:cs="Calibri"/>
        </w:rPr>
        <w:t>istema de conocimiento más justo, incluyente, pertinente y al servicio del bienestar comunitario y la soberanía nacional.</w:t>
      </w:r>
    </w:p>
    <w:p w14:paraId="0000003C" w14:textId="77777777" w:rsidR="00F440B5" w:rsidRDefault="00046789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La ENBC-ASA es un posgrado estratégicamente diseñado para formar sujetos con capacidades para la incidencia social y ambiental en los territorios, y en resonancia con la LGHCTI, para que los conocimientos se construyan </w:t>
      </w:r>
      <w:r>
        <w:rPr>
          <w:rFonts w:ascii="Calibri" w:eastAsia="Calibri" w:hAnsi="Calibri" w:cs="Calibri"/>
          <w:color w:val="0F1115"/>
        </w:rPr>
        <w:t>desde y para las bases sociales, mate</w:t>
      </w:r>
      <w:r>
        <w:rPr>
          <w:rFonts w:ascii="Calibri" w:eastAsia="Calibri" w:hAnsi="Calibri" w:cs="Calibri"/>
          <w:color w:val="0F1115"/>
        </w:rPr>
        <w:t>rializando el principio de integrar los saberes locales y comunitarios con los conocimientos científicos y tecnológicos.</w:t>
      </w:r>
      <w:r>
        <w:rPr>
          <w:rFonts w:ascii="Calibri" w:eastAsia="Calibri" w:hAnsi="Calibri" w:cs="Calibri"/>
        </w:rPr>
        <w:t xml:space="preserve"> Las Propuestas Territoriales de Bienestar Comunitario para la transición agroecológica y la soberanía alimentaria son el resultado cole</w:t>
      </w:r>
      <w:r>
        <w:rPr>
          <w:rFonts w:ascii="Calibri" w:eastAsia="Calibri" w:hAnsi="Calibri" w:cs="Calibri"/>
        </w:rPr>
        <w:t>ctivo y co-construido que responde a la justicia educativa en territorios vulnerables, inclusión social, atención de problemáticas nacionales, profesionistas especializados en realidades socioecológicas y la apropiación y transferencia social del conocimie</w:t>
      </w:r>
      <w:r>
        <w:rPr>
          <w:rFonts w:ascii="Calibri" w:eastAsia="Calibri" w:hAnsi="Calibri" w:cs="Calibri"/>
        </w:rPr>
        <w:t>nto, todo enmarcado en los lineamientos de posgrado y la LGHCTI.</w:t>
      </w:r>
    </w:p>
    <w:p w14:paraId="0000003D" w14:textId="77777777" w:rsidR="00F440B5" w:rsidRDefault="00F440B5">
      <w:pPr>
        <w:shd w:val="clear" w:color="auto" w:fill="FFFFFF"/>
        <w:spacing w:before="240" w:after="240"/>
        <w:rPr>
          <w:rFonts w:ascii="Roboto" w:eastAsia="Roboto" w:hAnsi="Roboto" w:cs="Roboto"/>
          <w:sz w:val="24"/>
          <w:szCs w:val="24"/>
        </w:rPr>
      </w:pPr>
    </w:p>
    <w:p w14:paraId="0000003E" w14:textId="77777777" w:rsidR="00F440B5" w:rsidRDefault="00F440B5">
      <w:pPr>
        <w:shd w:val="clear" w:color="auto" w:fill="FFFFFF"/>
        <w:spacing w:before="240" w:after="240"/>
        <w:rPr>
          <w:rFonts w:ascii="Roboto" w:eastAsia="Roboto" w:hAnsi="Roboto" w:cs="Roboto"/>
          <w:color w:val="0F1115"/>
          <w:sz w:val="24"/>
          <w:szCs w:val="24"/>
        </w:rPr>
      </w:pPr>
    </w:p>
    <w:p w14:paraId="0000003F" w14:textId="77777777" w:rsidR="00F440B5" w:rsidRDefault="00F440B5"/>
    <w:p w14:paraId="00000040" w14:textId="77777777" w:rsidR="00F440B5" w:rsidRDefault="00F440B5"/>
    <w:p w14:paraId="00000041" w14:textId="77777777" w:rsidR="00F440B5" w:rsidRDefault="00F440B5"/>
    <w:p w14:paraId="00000042" w14:textId="77777777" w:rsidR="00F440B5" w:rsidRDefault="00F440B5"/>
    <w:p w14:paraId="00000043" w14:textId="77777777" w:rsidR="00F440B5" w:rsidRDefault="00F440B5"/>
    <w:p w14:paraId="00000044" w14:textId="77777777" w:rsidR="00F440B5" w:rsidRDefault="00F440B5"/>
    <w:p w14:paraId="00000045" w14:textId="77777777" w:rsidR="00F440B5" w:rsidRDefault="00F440B5"/>
    <w:p w14:paraId="00000046" w14:textId="77777777" w:rsidR="00F440B5" w:rsidRDefault="00F440B5"/>
    <w:p w14:paraId="00000047" w14:textId="77777777" w:rsidR="00F440B5" w:rsidRDefault="00F440B5"/>
    <w:p w14:paraId="00000048" w14:textId="77777777" w:rsidR="00F440B5" w:rsidRDefault="00F440B5"/>
    <w:p w14:paraId="00000049" w14:textId="77777777" w:rsidR="00F440B5" w:rsidRDefault="00F440B5"/>
    <w:p w14:paraId="0000004A" w14:textId="77777777" w:rsidR="00F440B5" w:rsidRDefault="00F440B5"/>
    <w:p w14:paraId="0000004B" w14:textId="77777777" w:rsidR="00F440B5" w:rsidRDefault="00F440B5"/>
    <w:p w14:paraId="0000004C" w14:textId="77777777" w:rsidR="00F440B5" w:rsidRDefault="00F440B5"/>
    <w:p w14:paraId="0000004D" w14:textId="77777777" w:rsidR="00F440B5" w:rsidRDefault="00F440B5"/>
    <w:p w14:paraId="0000004E" w14:textId="77777777" w:rsidR="00F440B5" w:rsidRDefault="00F440B5">
      <w:pPr>
        <w:rPr>
          <w:rFonts w:ascii="Calibri" w:eastAsia="Calibri" w:hAnsi="Calibri" w:cs="Calibri"/>
        </w:rPr>
      </w:pPr>
    </w:p>
    <w:sectPr w:rsidR="00F440B5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36C2DE" w14:textId="77777777" w:rsidR="00000000" w:rsidRDefault="00046789">
      <w:pPr>
        <w:spacing w:line="240" w:lineRule="auto"/>
      </w:pPr>
      <w:r>
        <w:separator/>
      </w:r>
    </w:p>
  </w:endnote>
  <w:endnote w:type="continuationSeparator" w:id="0">
    <w:p w14:paraId="502CB2BA" w14:textId="77777777" w:rsidR="00000000" w:rsidRDefault="000467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">
    <w:charset w:val="00"/>
    <w:family w:val="auto"/>
    <w:pitch w:val="default"/>
    <w:embedRegular r:id="rId1" w:fontKey="{061E5A85-AF09-4727-AD2E-7CA0AE15C4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D05ACCE-32CE-4A7A-BC29-87C172ED3203}"/>
    <w:embedBold r:id="rId3" w:fontKey="{45B2D397-B07A-4FF5-80D7-B330B99A2F93}"/>
    <w:embedItalic r:id="rId4" w:fontKey="{2B044C36-78FC-41B3-8889-59E9256241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A4F661-C39B-4E4B-BC1B-69C3FC2951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4F" w14:textId="4710A638" w:rsidR="00F440B5" w:rsidRDefault="00046789">
    <w:pPr>
      <w:jc w:val="right"/>
    </w:pP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400D0F" w14:textId="77777777" w:rsidR="00000000" w:rsidRDefault="00046789">
      <w:pPr>
        <w:spacing w:line="240" w:lineRule="auto"/>
      </w:pPr>
      <w:r>
        <w:separator/>
      </w:r>
    </w:p>
  </w:footnote>
  <w:footnote w:type="continuationSeparator" w:id="0">
    <w:p w14:paraId="05C29FD8" w14:textId="77777777" w:rsidR="00000000" w:rsidRDefault="0004678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A4F69"/>
    <w:multiLevelType w:val="multilevel"/>
    <w:tmpl w:val="5368461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822352"/>
    <w:multiLevelType w:val="multilevel"/>
    <w:tmpl w:val="9788DDC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ECB526F"/>
    <w:multiLevelType w:val="multilevel"/>
    <w:tmpl w:val="41B426E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AA46BD5"/>
    <w:multiLevelType w:val="multilevel"/>
    <w:tmpl w:val="5832D67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AB61456"/>
    <w:multiLevelType w:val="multilevel"/>
    <w:tmpl w:val="CC3222C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BEB5CAD"/>
    <w:multiLevelType w:val="multilevel"/>
    <w:tmpl w:val="281068CA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13F11FA"/>
    <w:multiLevelType w:val="multilevel"/>
    <w:tmpl w:val="BD3AFDD8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C600A11"/>
    <w:multiLevelType w:val="multilevel"/>
    <w:tmpl w:val="A3C8BAC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E421A16"/>
    <w:multiLevelType w:val="multilevel"/>
    <w:tmpl w:val="D31E9D6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242599"/>
    <w:multiLevelType w:val="multilevel"/>
    <w:tmpl w:val="5532C3D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A6714D8"/>
    <w:multiLevelType w:val="multilevel"/>
    <w:tmpl w:val="9C80740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6"/>
  </w:num>
  <w:num w:numId="7">
    <w:abstractNumId w:val="0"/>
  </w:num>
  <w:num w:numId="8">
    <w:abstractNumId w:val="1"/>
  </w:num>
  <w:num w:numId="9">
    <w:abstractNumId w:val="5"/>
  </w:num>
  <w:num w:numId="10">
    <w:abstractNumId w:val="4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0B5"/>
    <w:rsid w:val="00046789"/>
    <w:rsid w:val="00F4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57EFE"/>
  <w15:docId w15:val="{330B9A78-E39E-4713-B7E0-B2C823BF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-419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vX6swET649DqHmCuVNb-wsnbBXM77xgC/view?usp=sharin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iatej.mx/estudia-ciatej/posgrados/pies_agil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2008</Words>
  <Characters>11046</Characters>
  <Application>Microsoft Office Word</Application>
  <DocSecurity>0</DocSecurity>
  <Lines>92</Lines>
  <Paragraphs>26</Paragraphs>
  <ScaleCrop>false</ScaleCrop>
  <Company/>
  <LinksUpToDate>false</LinksUpToDate>
  <CharactersWithSpaces>13028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Apoyo Posgrado</cp:lastModifiedBy>
  <cp:revision>2</cp:revision>
  <dcterms:created xsi:type="dcterms:W3CDTF">2025-11-10T18:13:00Z</dcterms:created>
  <dcterms:modified xsi:type="dcterms:W3CDTF">2025-11-10T18:13:00Z</dcterms:modified>
</cp:coreProperties>
</file>