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26"/>
          <w:szCs w:val="26"/>
        </w:rPr>
      </w:pPr>
      <w:r w:rsidDel="00000000" w:rsidR="00000000" w:rsidRPr="00000000">
        <w:rPr>
          <w:b w:val="1"/>
          <w:bCs w:val="1"/>
          <w:sz w:val="26"/>
          <w:szCs w:val="26"/>
          <w:rtl w:val="0"/>
        </w:rPr>
        <w:t xml:space="preserve">11. Acciones para mitigar el abandono escolar</w:t>
      </w:r>
    </w:p>
    <w:p w:rsidR="00000000" w:rsidDel="00000000" w:rsidP="00000000" w:rsidRDefault="00000000" w:rsidRPr="00000000" w14:paraId="00000002">
      <w:pPr>
        <w:rPr>
          <w:sz w:val="18"/>
          <w:szCs w:val="18"/>
        </w:rPr>
      </w:pPr>
      <w:r w:rsidDel="00000000" w:rsidR="00000000" w:rsidRPr="00000000">
        <w:rPr>
          <w:rtl w:val="0"/>
        </w:rPr>
      </w:r>
    </w:p>
    <w:p w:rsidR="00000000" w:rsidDel="00000000" w:rsidP="00000000" w:rsidRDefault="00000000" w:rsidRPr="00000000" w14:paraId="00000003">
      <w:pPr>
        <w:shd w:fill="ffffff" w:val="clear"/>
        <w:spacing w:after="240" w:before="240" w:lineRule="auto"/>
        <w:rPr>
          <w:rFonts w:ascii="Noto Sans" w:cs="Noto Sans" w:eastAsia="Noto Sans" w:hAnsi="Noto Sans"/>
          <w:color w:val="0f1115"/>
        </w:rPr>
      </w:pPr>
      <w:r w:rsidDel="00000000" w:rsidR="00000000" w:rsidRPr="00000000">
        <w:rPr>
          <w:rFonts w:ascii="Noto Sans" w:cs="Noto Sans" w:eastAsia="Noto Sans" w:hAnsi="Noto Sans"/>
          <w:color w:val="0f1115"/>
          <w:rtl w:val="0"/>
        </w:rPr>
        <w:t xml:space="preserve">El programa de la Especialidad Nacional para el Bienestar Comunitario en Agroecologías y Soberanías Alimentarias (ENBC-ASA) opera bajo un Sistema Integral de Permanencia, el cual se fundamenta en los lineamientos y protocolos establecidos por la Dirección de Posgrados del CIATEJ. Este marco institucional garantiza que las acciones para mitigar el abandono escolar sean sistemáticas, oportunas y respetuosas de los derechos de las y los estudiantes.</w:t>
      </w:r>
    </w:p>
    <w:p w:rsidR="00000000" w:rsidDel="00000000" w:rsidP="00000000" w:rsidRDefault="00000000" w:rsidRPr="00000000" w14:paraId="00000004">
      <w:pPr>
        <w:shd w:fill="ffffff" w:val="clear"/>
        <w:spacing w:after="240" w:before="240" w:lineRule="auto"/>
        <w:rPr>
          <w:rFonts w:ascii="Noto Sans" w:cs="Noto Sans" w:eastAsia="Noto Sans" w:hAnsi="Noto Sans"/>
          <w:color w:val="0f1115"/>
        </w:rPr>
      </w:pPr>
      <w:r w:rsidDel="00000000" w:rsidR="00000000" w:rsidRPr="00000000">
        <w:rPr>
          <w:rFonts w:ascii="Noto Sans" w:cs="Noto Sans" w:eastAsia="Noto Sans" w:hAnsi="Noto Sans"/>
          <w:color w:val="0f1115"/>
          <w:rtl w:val="0"/>
        </w:rPr>
        <w:t xml:space="preserve">1. Un Modelo Híbrido que Favorece la Permanencia</w:t>
      </w:r>
    </w:p>
    <w:p w:rsidR="00000000" w:rsidDel="00000000" w:rsidP="00000000" w:rsidRDefault="00000000" w:rsidRPr="00000000" w14:paraId="00000005">
      <w:pPr>
        <w:numPr>
          <w:ilvl w:val="0"/>
          <w:numId w:val="1"/>
        </w:numPr>
        <w:shd w:fill="ffffff" w:val="clear"/>
        <w:spacing w:after="240" w:befor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Flexibilidad y Pertinencia del Diseño Modal: El programa se imparte bajo una modalidad híbrida, que combina sesiones virtuales sincrónicas con trabajo autónomo en plataforma y, de manera crucial, con la aplicación práctica </w:t>
      </w:r>
      <w:r w:rsidDel="00000000" w:rsidR="00000000" w:rsidRPr="00000000">
        <w:rPr>
          <w:rFonts w:ascii="Noto Sans" w:cs="Noto Sans" w:eastAsia="Noto Sans" w:hAnsi="Noto Sans"/>
          <w:i w:val="1"/>
          <w:iCs w:val="1"/>
          <w:color w:val="0f1115"/>
          <w:rtl w:val="0"/>
        </w:rPr>
        <w:t xml:space="preserve">in situ</w:t>
      </w:r>
      <w:r w:rsidDel="00000000" w:rsidR="00000000" w:rsidRPr="00000000">
        <w:rPr>
          <w:rFonts w:ascii="Noto Sans" w:cs="Noto Sans" w:eastAsia="Noto Sans" w:hAnsi="Noto Sans"/>
          <w:color w:val="0f1115"/>
          <w:rtl w:val="0"/>
        </w:rPr>
        <w:t xml:space="preserve"> en los territorios. Este diseño es fundamental para la permanencia, ya que permite a las y los estudiantes organizar sus tiempos de estudio y la ejecución de sus Planes de Acción Territorial de manera integrada con sus labores y compromisos comunitarios preexistentes. Al no requerir una reubicación geográfica permanente y adaptarse a la realidad de cada estudiante, el modelo elimina una de las barreras tradicionales más grandes para el acceso y conclusión de un posgrado.</w:t>
      </w:r>
    </w:p>
    <w:p w:rsidR="00000000" w:rsidDel="00000000" w:rsidP="00000000" w:rsidRDefault="00000000" w:rsidRPr="00000000" w14:paraId="00000006">
      <w:pPr>
        <w:shd w:fill="ffffff" w:val="clear"/>
        <w:spacing w:after="240" w:before="240" w:lineRule="auto"/>
        <w:rPr>
          <w:rFonts w:ascii="Noto Sans" w:cs="Noto Sans" w:eastAsia="Noto Sans" w:hAnsi="Noto Sans"/>
          <w:color w:val="0f1115"/>
        </w:rPr>
      </w:pPr>
      <w:r w:rsidDel="00000000" w:rsidR="00000000" w:rsidRPr="00000000">
        <w:rPr>
          <w:rFonts w:ascii="Noto Sans" w:cs="Noto Sans" w:eastAsia="Noto Sans" w:hAnsi="Noto Sans"/>
          <w:color w:val="0f1115"/>
          <w:rtl w:val="0"/>
        </w:rPr>
        <w:t xml:space="preserve">2. Gestión Administrativa y de Becas como Soporte Fundamental</w:t>
      </w:r>
    </w:p>
    <w:p w:rsidR="00000000" w:rsidDel="00000000" w:rsidP="00000000" w:rsidRDefault="00000000" w:rsidRPr="00000000" w14:paraId="00000007">
      <w:pPr>
        <w:numPr>
          <w:ilvl w:val="0"/>
          <w:numId w:val="4"/>
        </w:numPr>
        <w:shd w:fill="ffffff" w:val="clear"/>
        <w:spacing w:after="240" w:befor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Gestión y Liberación Oportuna de Becas: La Dirección de Posgrados del CIATEJ tiene como una de sus misiones estratégicas garantizar la operatividad del apoyo económico. Esto implica realizar los trámites y reportes necesarios ante el Sistema de Becas Nacionales de la SECIHTI para asegurar que las becas de manutención sean liberadas en tiempo y forma. La certeza de contar con este apoyo económico es un factor determinante para que las y los estudiantes, muchos de ellos provenientes de contextos de vulnerabilidad, puedan dedicarse a sus estudios sin verse forzados al abandono por razones económicas.</w:t>
      </w:r>
    </w:p>
    <w:p w:rsidR="00000000" w:rsidDel="00000000" w:rsidP="00000000" w:rsidRDefault="00000000" w:rsidRPr="00000000" w14:paraId="00000008">
      <w:pPr>
        <w:shd w:fill="ffffff" w:val="clear"/>
        <w:spacing w:after="240" w:before="240" w:lineRule="auto"/>
        <w:rPr>
          <w:rFonts w:ascii="Noto Sans" w:cs="Noto Sans" w:eastAsia="Noto Sans" w:hAnsi="Noto Sans"/>
          <w:color w:val="0f1115"/>
        </w:rPr>
      </w:pPr>
      <w:r w:rsidDel="00000000" w:rsidR="00000000" w:rsidRPr="00000000">
        <w:rPr>
          <w:rFonts w:ascii="Noto Sans" w:cs="Noto Sans" w:eastAsia="Noto Sans" w:hAnsi="Noto Sans"/>
          <w:color w:val="0f1115"/>
          <w:rtl w:val="0"/>
        </w:rPr>
        <w:t xml:space="preserve">3. Acompañamiento Académico Personalizado</w:t>
      </w:r>
    </w:p>
    <w:p w:rsidR="00000000" w:rsidDel="00000000" w:rsidP="00000000" w:rsidRDefault="00000000" w:rsidRPr="00000000" w14:paraId="00000009">
      <w:pPr>
        <w:numPr>
          <w:ilvl w:val="0"/>
          <w:numId w:val="6"/>
        </w:numPr>
        <w:shd w:fill="ffffff" w:val="clear"/>
        <w:spacing w:after="240" w:befor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Seguimiento Tutorial Continuo: Cada estudiante recibe, a lo largo de los 24 meses del programa, un seguimiento personalizado por parte de su Director/a de proyecto. Este acompañamiento consiste en la revisión y retroalimentación sistemática de sus avances en el curso de Metodología de la Investigación-Acción Participativa (MIAP), permitiendo una comprensión profunda de su realidad específica y de los desafíos que enfrenta en el territorio para la implementación de su Plan de Acción Territorial.</w:t>
      </w:r>
    </w:p>
    <w:p w:rsidR="00000000" w:rsidDel="00000000" w:rsidP="00000000" w:rsidRDefault="00000000" w:rsidRPr="00000000" w14:paraId="0000000A">
      <w:pPr>
        <w:shd w:fill="ffffff" w:val="clear"/>
        <w:spacing w:after="240" w:before="240" w:lineRule="auto"/>
        <w:rPr>
          <w:rFonts w:ascii="Noto Sans" w:cs="Noto Sans" w:eastAsia="Noto Sans" w:hAnsi="Noto Sans"/>
          <w:color w:val="0f1115"/>
        </w:rPr>
      </w:pPr>
      <w:r w:rsidDel="00000000" w:rsidR="00000000" w:rsidRPr="00000000">
        <w:rPr>
          <w:rFonts w:ascii="Noto Sans" w:cs="Noto Sans" w:eastAsia="Noto Sans" w:hAnsi="Noto Sans"/>
          <w:color w:val="0f1115"/>
          <w:rtl w:val="0"/>
        </w:rPr>
        <w:t xml:space="preserve">4. Mecanismos de Apoyo y Flexibilidad ante Contingencias, con Sustento en Protocolos Institucionales</w:t>
      </w:r>
    </w:p>
    <w:p w:rsidR="00000000" w:rsidDel="00000000" w:rsidP="00000000" w:rsidRDefault="00000000" w:rsidRPr="00000000" w14:paraId="0000000B">
      <w:pPr>
        <w:numPr>
          <w:ilvl w:val="0"/>
          <w:numId w:val="2"/>
        </w:numPr>
        <w:shd w:fill="ffffff" w:val="clear"/>
        <w:spacing w:after="0" w:afterAutospacing="0" w:befor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Protocolo de Comunicación y Canalización: Se cuenta con un canal directo y expedito con el Área de Posgrados del CIATEJ para atender situaciones críticas, dando cumplimiento al </w:t>
      </w:r>
      <w:r w:rsidDel="00000000" w:rsidR="00000000" w:rsidRPr="00000000">
        <w:rPr>
          <w:rFonts w:ascii="Noto Sans" w:cs="Noto Sans" w:eastAsia="Noto Sans" w:hAnsi="Noto Sans"/>
          <w:b w:val="1"/>
          <w:bCs w:val="1"/>
          <w:color w:val="0f1115"/>
          <w:highlight w:val="yellow"/>
          <w:rtl w:val="0"/>
        </w:rPr>
        <w:t xml:space="preserve">"Protocolo para la Atención de Situaciones de Contingencia en Estudiantes de Posgrado"</w:t>
      </w:r>
      <w:r w:rsidDel="00000000" w:rsidR="00000000" w:rsidRPr="00000000">
        <w:rPr>
          <w:rFonts w:ascii="Noto Sans" w:cs="Noto Sans" w:eastAsia="Noto Sans" w:hAnsi="Noto Sans"/>
          <w:color w:val="0f1115"/>
          <w:rtl w:val="0"/>
        </w:rPr>
        <w:t xml:space="preserve">. Este procedimiento estandarizado permite actuar con celeridad y apego a la normativa en casos de dificultades de salud, problemas familiares o casos de violencia en el territorio.</w:t>
      </w:r>
    </w:p>
    <w:p w:rsidR="00000000" w:rsidDel="00000000" w:rsidP="00000000" w:rsidRDefault="00000000" w:rsidRPr="00000000" w14:paraId="0000000C">
      <w:pPr>
        <w:numPr>
          <w:ilvl w:val="0"/>
          <w:numId w:val="2"/>
        </w:numPr>
        <w:shd w:fill="ffffff" w:val="clear"/>
        <w:spacing w:after="240" w:before="0" w:beforeAutospacing="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Flexibilización de Cargas Académicas: Como medida de protección al estudiante, y en estricto apego a los </w:t>
      </w:r>
      <w:r w:rsidDel="00000000" w:rsidR="00000000" w:rsidRPr="00000000">
        <w:rPr>
          <w:rFonts w:ascii="Noto Sans" w:cs="Noto Sans" w:eastAsia="Noto Sans" w:hAnsi="Noto Sans"/>
          <w:b w:val="1"/>
          <w:bCs w:val="1"/>
          <w:highlight w:val="yellow"/>
          <w:rtl w:val="0"/>
        </w:rPr>
        <w:t xml:space="preserve">Lineamientos de Flexibilidad Académica del CIATEJ</w:t>
      </w:r>
      <w:r w:rsidDel="00000000" w:rsidR="00000000" w:rsidRPr="00000000">
        <w:rPr>
          <w:rFonts w:ascii="Noto Sans" w:cs="Noto Sans" w:eastAsia="Noto Sans" w:hAnsi="Noto Sans"/>
          <w:color w:val="0f1115"/>
          <w:rtl w:val="0"/>
        </w:rPr>
        <w:t xml:space="preserve">, se otorgan prórrogas justificadas en la entrega de trabajos y actividades en casos debidamente acreditados de salud, embarazo, lactancia o situaciones de violencia en el territorio, garantizando que circunstancias ajenas a su voluntad no comprometan su permanencia.</w:t>
      </w:r>
    </w:p>
    <w:p w:rsidR="00000000" w:rsidDel="00000000" w:rsidP="00000000" w:rsidRDefault="00000000" w:rsidRPr="00000000" w14:paraId="0000000D">
      <w:pPr>
        <w:shd w:fill="ffffff" w:val="clear"/>
        <w:spacing w:after="240" w:before="240" w:lineRule="auto"/>
        <w:rPr>
          <w:rFonts w:ascii="Noto Sans" w:cs="Noto Sans" w:eastAsia="Noto Sans" w:hAnsi="Noto Sans"/>
          <w:color w:val="0f1115"/>
        </w:rPr>
      </w:pPr>
      <w:r w:rsidDel="00000000" w:rsidR="00000000" w:rsidRPr="00000000">
        <w:rPr>
          <w:rFonts w:ascii="Noto Sans" w:cs="Noto Sans" w:eastAsia="Noto Sans" w:hAnsi="Noto Sans"/>
          <w:color w:val="0f1115"/>
          <w:rtl w:val="0"/>
        </w:rPr>
        <w:t xml:space="preserve">5. Intervención Proactiva y Estrategias Correctivas</w:t>
      </w:r>
    </w:p>
    <w:p w:rsidR="00000000" w:rsidDel="00000000" w:rsidP="00000000" w:rsidRDefault="00000000" w:rsidRPr="00000000" w14:paraId="0000000E">
      <w:pPr>
        <w:numPr>
          <w:ilvl w:val="0"/>
          <w:numId w:val="3"/>
        </w:numPr>
        <w:shd w:fill="ffffff" w:val="clear"/>
        <w:spacing w:after="0" w:afterAutospacing="0" w:befor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Atención Personalizada en Situaciones de Riesgo: Se realizan reuniones individualizadas vía videollamada con aquellos estudiantes que presentan dificultades académicas o personales. El objetivo de estas sesiones es co-construir, de manera colaborativa, estrategias y planes de acción personalizados que les permitan cumplir con sus actividades académicas sin detrimento de su bienestar.</w:t>
      </w:r>
    </w:p>
    <w:p w:rsidR="00000000" w:rsidDel="00000000" w:rsidP="00000000" w:rsidRDefault="00000000" w:rsidRPr="00000000" w14:paraId="0000000F">
      <w:pPr>
        <w:numPr>
          <w:ilvl w:val="0"/>
          <w:numId w:val="3"/>
        </w:numPr>
        <w:shd w:fill="ffffff" w:val="clear"/>
        <w:spacing w:after="240" w:before="0" w:beforeAutospacing="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Comité de Análisis para la Permanencia: Se establece un diálogo permanente entre la Dirección del programa y la Dirección de Posgrados del CIATEJ para identificar de manera temprana a estudiantes en situación de vulnerabilidad. Este análisis conjunto, fundamentado en los Procedimientos del Comité Tutorial Institucional, permite implementar acciones de apoyo específicas y oportunas para prevenir la deserción.</w:t>
      </w:r>
    </w:p>
    <w:p w:rsidR="00000000" w:rsidDel="00000000" w:rsidP="00000000" w:rsidRDefault="00000000" w:rsidRPr="00000000" w14:paraId="00000010">
      <w:pPr>
        <w:shd w:fill="ffffff" w:val="clear"/>
        <w:spacing w:after="240" w:before="240" w:lineRule="auto"/>
        <w:rPr>
          <w:rFonts w:ascii="Noto Sans" w:cs="Noto Sans" w:eastAsia="Noto Sans" w:hAnsi="Noto Sans"/>
          <w:color w:val="0f1115"/>
        </w:rPr>
      </w:pPr>
      <w:r w:rsidDel="00000000" w:rsidR="00000000" w:rsidRPr="00000000">
        <w:rPr>
          <w:rFonts w:ascii="Noto Sans" w:cs="Noto Sans" w:eastAsia="Noto Sans" w:hAnsi="Noto Sans"/>
          <w:color w:val="0f1115"/>
          <w:rtl w:val="0"/>
        </w:rPr>
        <w:t xml:space="preserve">6. Soporte Pedagógico y de Organización</w:t>
      </w:r>
    </w:p>
    <w:p w:rsidR="00000000" w:rsidDel="00000000" w:rsidP="00000000" w:rsidRDefault="00000000" w:rsidRPr="00000000" w14:paraId="00000011">
      <w:pPr>
        <w:numPr>
          <w:ilvl w:val="0"/>
          <w:numId w:val="5"/>
        </w:numPr>
        <w:shd w:fill="ffffff" w:val="clear"/>
        <w:spacing w:after="0" w:afterAutospacing="0" w:before="24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Recursos Didácticos para la Gestión del Aprendizaje: A través de la plataforma educativa Moodle del programa ENBC-ASA, se proporciona un conjunto de recursos pedagógicos de planeación diseñados para facilitar la organización y el cumplimiento oportuno de las actividades. Estos recursos, alineados con la Política de Educación a Distancia del CIATEJ, incluyen:</w:t>
      </w:r>
    </w:p>
    <w:p w:rsidR="00000000" w:rsidDel="00000000" w:rsidP="00000000" w:rsidRDefault="00000000" w:rsidRPr="00000000" w14:paraId="00000012">
      <w:pPr>
        <w:numPr>
          <w:ilvl w:val="1"/>
          <w:numId w:val="5"/>
        </w:numPr>
        <w:spacing w:after="0" w:afterAutospacing="0" w:before="0" w:beforeAutospacing="0" w:lineRule="auto"/>
        <w:ind w:left="144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Calendarios integrados de actividades.</w:t>
      </w:r>
    </w:p>
    <w:p w:rsidR="00000000" w:rsidDel="00000000" w:rsidP="00000000" w:rsidRDefault="00000000" w:rsidRPr="00000000" w14:paraId="00000013">
      <w:pPr>
        <w:numPr>
          <w:ilvl w:val="1"/>
          <w:numId w:val="5"/>
        </w:numPr>
        <w:spacing w:after="0" w:afterAutospacing="0" w:before="0" w:beforeAutospacing="0" w:lineRule="auto"/>
        <w:ind w:left="144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Listas de verificación (checklists).</w:t>
      </w:r>
    </w:p>
    <w:p w:rsidR="00000000" w:rsidDel="00000000" w:rsidP="00000000" w:rsidRDefault="00000000" w:rsidRPr="00000000" w14:paraId="00000014">
      <w:pPr>
        <w:numPr>
          <w:ilvl w:val="1"/>
          <w:numId w:val="5"/>
        </w:numPr>
        <w:spacing w:after="0" w:afterAutospacing="0" w:before="0" w:beforeAutospacing="0" w:lineRule="auto"/>
        <w:ind w:left="144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Mensajería directa con sus facilitadores.</w:t>
      </w:r>
    </w:p>
    <w:p w:rsidR="00000000" w:rsidDel="00000000" w:rsidP="00000000" w:rsidRDefault="00000000" w:rsidRPr="00000000" w14:paraId="00000015">
      <w:pPr>
        <w:numPr>
          <w:ilvl w:val="1"/>
          <w:numId w:val="5"/>
        </w:numPr>
        <w:spacing w:after="0" w:afterAutospacing="0" w:before="0" w:beforeAutospacing="0" w:lineRule="auto"/>
        <w:ind w:left="144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Guías de aprendizaje detalladas.</w:t>
      </w:r>
    </w:p>
    <w:p w:rsidR="00000000" w:rsidDel="00000000" w:rsidP="00000000" w:rsidRDefault="00000000" w:rsidRPr="00000000" w14:paraId="00000016">
      <w:pPr>
        <w:numPr>
          <w:ilvl w:val="1"/>
          <w:numId w:val="5"/>
        </w:numPr>
        <w:spacing w:after="0" w:afterAutospacing="0" w:before="0" w:beforeAutospacing="0" w:lineRule="auto"/>
        <w:ind w:left="144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Foros de dudas y avisos generales.</w:t>
      </w:r>
    </w:p>
    <w:p w:rsidR="00000000" w:rsidDel="00000000" w:rsidP="00000000" w:rsidRDefault="00000000" w:rsidRPr="00000000" w14:paraId="00000017">
      <w:pPr>
        <w:numPr>
          <w:ilvl w:val="0"/>
          <w:numId w:val="5"/>
        </w:numPr>
        <w:shd w:fill="ffffff" w:val="clear"/>
        <w:spacing w:after="240" w:before="0" w:beforeAutospacing="0" w:lineRule="auto"/>
        <w:ind w:left="720" w:hanging="360"/>
        <w:rPr>
          <w:rFonts w:ascii="Noto Sans" w:cs="Noto Sans" w:eastAsia="Noto Sans" w:hAnsi="Noto Sans"/>
          <w:sz w:val="22"/>
          <w:szCs w:val="22"/>
        </w:rPr>
      </w:pPr>
      <w:r w:rsidDel="00000000" w:rsidR="00000000" w:rsidRPr="00000000">
        <w:rPr>
          <w:rFonts w:ascii="Noto Sans" w:cs="Noto Sans" w:eastAsia="Noto Sans" w:hAnsi="Noto Sans"/>
          <w:color w:val="0f1115"/>
          <w:rtl w:val="0"/>
        </w:rPr>
        <w:t xml:space="preserve">Sesiones Colegiadas de Acompañamiento: Se llevan a cabo sesiones académicas semanales o quincenales, organizadas por Nodos y facilitadas por los profesores de cada curso. Estos espacios están destinados a resolver dudas colectivas, explicar a profundidad las actividades de aprendizaje y fortalecer el sentido de comunidad y apoyo mutuo entre los estudiantes.</w:t>
      </w:r>
    </w:p>
    <w:p w:rsidR="00000000" w:rsidDel="00000000" w:rsidP="00000000" w:rsidRDefault="00000000" w:rsidRPr="00000000" w14:paraId="00000018">
      <w:pPr>
        <w:shd w:fill="ffffff" w:val="clear"/>
        <w:spacing w:after="240" w:before="340" w:lineRule="auto"/>
        <w:ind w:left="0" w:firstLine="0"/>
        <w:rPr>
          <w:rFonts w:ascii="Noto Sans" w:cs="Noto Sans" w:eastAsia="Noto Sans" w:hAnsi="Noto Sans"/>
          <w:color w:val="0f1115"/>
        </w:rPr>
      </w:pPr>
      <w:r w:rsidDel="00000000" w:rsidR="00000000" w:rsidRPr="00000000">
        <w:rPr>
          <w:rFonts w:ascii="Noto Sans" w:cs="Noto Sans" w:eastAsia="Noto Sans" w:hAnsi="Noto Sans"/>
          <w:color w:val="0f1115"/>
          <w:highlight w:val="white"/>
          <w:rtl w:val="0"/>
        </w:rPr>
        <w:t xml:space="preserve">En la primera generación de la ENBC-ASA, de una población total de 185 estudiantes registrados, se reportaron 19 bajas (10.2% de la generación), un índice notablemente bajo para un posgrado de esta naturaleza, lo cual refleja la efectividad de las estrategias de permanencia. Un análisis detallado de los motivos evidencia el funcionamiento de los protocolos establecidos: 6 estudiantes no iniciaron actividades al no completar proceso de solicitud de beca SECIHTI; 9 fueron dados de baja por insuficiencia académica tras agotar todas las instancias de apoyo tutorial y flexibilización de actividades; y 4 solicitaron baja voluntaria por motivos personales y laborales. Estas cifras confirman que el programa logra retener de manera efectiva a la inmensa mayoría de sus estudiantes, incluso ante situaciones académicas complejas, gracias a su sistema de acompañamiento integral.</w:t>
      </w:r>
      <w:r w:rsidDel="00000000" w:rsidR="00000000" w:rsidRPr="00000000">
        <w:rPr>
          <w:rtl w:val="0"/>
        </w:rPr>
      </w:r>
    </w:p>
    <w:p w:rsidR="00000000" w:rsidDel="00000000" w:rsidP="00000000" w:rsidRDefault="00000000" w:rsidRPr="00000000" w14:paraId="00000019">
      <w:pPr>
        <w:shd w:fill="ffffff" w:val="clear"/>
        <w:spacing w:after="240" w:before="340" w:lineRule="auto"/>
        <w:ind w:left="0" w:firstLine="0"/>
        <w:rPr>
          <w:rFonts w:ascii="Noto Sans" w:cs="Noto Sans" w:eastAsia="Noto Sans" w:hAnsi="Noto Sans"/>
          <w:color w:val="0f1115"/>
        </w:rPr>
      </w:pPr>
      <w:r w:rsidDel="00000000" w:rsidR="00000000" w:rsidRPr="00000000">
        <w:rPr>
          <w:rtl w:val="0"/>
        </w:rPr>
      </w:r>
    </w:p>
    <w:p w:rsidR="00000000" w:rsidDel="00000000" w:rsidP="00000000" w:rsidRDefault="00000000" w:rsidRPr="00000000" w14:paraId="0000001A">
      <w:pPr>
        <w:shd w:fill="ffffff" w:val="clear"/>
        <w:spacing w:after="240" w:before="240" w:lineRule="auto"/>
        <w:rPr>
          <w:rFonts w:ascii="Noto Sans" w:cs="Noto Sans" w:eastAsia="Noto Sans" w:hAnsi="Noto Sans"/>
          <w:color w:val="0f1115"/>
        </w:rPr>
      </w:pPr>
      <w:r w:rsidDel="00000000" w:rsidR="00000000" w:rsidRPr="00000000">
        <w:rPr>
          <w:rFonts w:ascii="Noto Sans" w:cs="Noto Sans" w:eastAsia="Noto Sans" w:hAnsi="Noto Sans"/>
          <w:color w:val="0f1115"/>
          <w:rtl w:val="0"/>
        </w:rPr>
        <w:t xml:space="preserve">Conclusión</w:t>
        <w:br w:type="textWrapping"/>
        <w:t xml:space="preserve">La implementación de este sistema—que inicia con un modelo híbrido pertinente, se sustenta en la gestión eficaz de las becas y se consolida con un robusto andamiaje de acompañamiento—refleja el compromiso institucional con la conclusión exitosa de la trayectoria formativa. Este enfoque integral posiciona al programa ENBC-ASA como un referente en la mitigación del abandono escolar en posgrados con enfoque comunitario, asegurando que las y los estudiantes cuenten con las condiciones necesarias para culminar su formación e impactar positivamente en sus territorios.</w:t>
      </w:r>
    </w:p>
    <w:p w:rsidR="00000000" w:rsidDel="00000000" w:rsidP="00000000" w:rsidRDefault="00000000" w:rsidRPr="00000000" w14:paraId="0000001B">
      <w:pPr>
        <w:rPr>
          <w:rFonts w:ascii="Roboto" w:cs="Roboto" w:eastAsia="Roboto" w:hAnsi="Roboto"/>
          <w:color w:val="0f1115"/>
          <w:sz w:val="24"/>
          <w:szCs w:val="24"/>
        </w:rPr>
      </w:pPr>
      <w:r w:rsidDel="00000000" w:rsidR="00000000" w:rsidRPr="00000000">
        <w:rPr>
          <w:rtl w:val="0"/>
        </w:rPr>
      </w:r>
    </w:p>
    <w:p w:rsidR="00000000" w:rsidDel="00000000" w:rsidP="00000000" w:rsidRDefault="00000000" w:rsidRPr="00000000" w14:paraId="0000001C">
      <w:pPr>
        <w:rPr>
          <w:sz w:val="18"/>
          <w:szCs w:val="18"/>
        </w:rPr>
      </w:pPr>
      <w:r w:rsidDel="00000000" w:rsidR="00000000" w:rsidRPr="00000000">
        <w:rPr>
          <w:rtl w:val="0"/>
        </w:rPr>
      </w:r>
    </w:p>
    <w:p w:rsidR="00000000" w:rsidDel="00000000" w:rsidP="00000000" w:rsidRDefault="00000000" w:rsidRPr="00000000" w14:paraId="0000001D">
      <w:pPr>
        <w:rPr>
          <w:sz w:val="18"/>
          <w:szCs w:val="18"/>
        </w:rPr>
      </w:pPr>
      <w:r w:rsidDel="00000000" w:rsidR="00000000" w:rsidRPr="00000000">
        <w:rPr>
          <w:rtl w:val="0"/>
        </w:rPr>
      </w:r>
    </w:p>
    <w:p w:rsidR="00000000" w:rsidDel="00000000" w:rsidP="00000000" w:rsidRDefault="00000000" w:rsidRPr="00000000" w14:paraId="0000001E">
      <w:pPr>
        <w:rPr>
          <w:sz w:val="18"/>
          <w:szCs w:val="18"/>
        </w:rPr>
      </w:pPr>
      <w:r w:rsidDel="00000000" w:rsidR="00000000" w:rsidRPr="00000000">
        <w:rPr>
          <w:rtl w:val="0"/>
        </w:rPr>
      </w:r>
    </w:p>
    <w:p w:rsidR="00000000" w:rsidDel="00000000" w:rsidP="00000000" w:rsidRDefault="00000000" w:rsidRPr="00000000" w14:paraId="0000001F">
      <w:pPr>
        <w:rPr>
          <w:sz w:val="18"/>
          <w:szCs w:val="18"/>
        </w:rPr>
      </w:pPr>
      <w:r w:rsidDel="00000000" w:rsidR="00000000" w:rsidRPr="00000000">
        <w:rPr>
          <w:rtl w:val="0"/>
        </w:rPr>
      </w:r>
    </w:p>
    <w:p w:rsidR="00000000" w:rsidDel="00000000" w:rsidP="00000000" w:rsidRDefault="00000000" w:rsidRPr="00000000" w14:paraId="00000020">
      <w:pPr>
        <w:rPr>
          <w:sz w:val="18"/>
          <w:szCs w:val="18"/>
        </w:rPr>
      </w:pPr>
      <w:r w:rsidDel="00000000" w:rsidR="00000000" w:rsidRPr="00000000">
        <w:rPr>
          <w:rtl w:val="0"/>
        </w:rPr>
      </w:r>
    </w:p>
    <w:p w:rsidR="00000000" w:rsidDel="00000000" w:rsidP="00000000" w:rsidRDefault="00000000" w:rsidRPr="00000000" w14:paraId="00000021">
      <w:pPr>
        <w:rPr>
          <w:sz w:val="18"/>
          <w:szCs w:val="18"/>
        </w:rPr>
      </w:pPr>
      <w:r w:rsidDel="00000000" w:rsidR="00000000" w:rsidRPr="00000000">
        <w:rPr>
          <w:rtl w:val="0"/>
        </w:rPr>
      </w:r>
    </w:p>
    <w:p w:rsidR="00000000" w:rsidDel="00000000" w:rsidP="00000000" w:rsidRDefault="00000000" w:rsidRPr="00000000" w14:paraId="00000022">
      <w:pPr>
        <w:rPr>
          <w:sz w:val="18"/>
          <w:szCs w:val="18"/>
        </w:rPr>
      </w:pPr>
      <w:r w:rsidDel="00000000" w:rsidR="00000000" w:rsidRPr="00000000">
        <w:rPr>
          <w:rtl w:val="0"/>
        </w:rPr>
      </w:r>
    </w:p>
    <w:p w:rsidR="00000000" w:rsidDel="00000000" w:rsidP="00000000" w:rsidRDefault="00000000" w:rsidRPr="00000000" w14:paraId="0000002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line="259" w:lineRule="auto"/>
        <w:rPr>
          <w:rFonts w:ascii="Calibri" w:cs="Calibri" w:eastAsia="Calibri" w:hAnsi="Calibri"/>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0f1115"/>
        <w:sz w:val="24"/>
        <w:szCs w:val="24"/>
        <w:u w:val="none"/>
      </w:rPr>
    </w:lvl>
    <w:lvl w:ilvl="1">
      <w:start w:val="1"/>
      <w:numFmt w:val="bullet"/>
      <w:lvlText w:val="○"/>
      <w:lvlJc w:val="left"/>
      <w:pPr>
        <w:ind w:left="1440" w:hanging="360"/>
      </w:pPr>
      <w:rPr>
        <w:rFonts w:ascii="Roboto" w:cs="Roboto" w:eastAsia="Roboto" w:hAnsi="Roboto"/>
        <w:color w:val="0f111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