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53D7" w14:textId="77777777" w:rsidR="003D129E" w:rsidRPr="003D129E" w:rsidRDefault="003D129E" w:rsidP="003D129E">
      <w:pPr>
        <w:rPr>
          <w:rFonts w:ascii="Nirmala UI" w:hAnsi="Nirmala UI" w:cs="Nirmala UI"/>
          <w:b/>
          <w:bCs/>
          <w:sz w:val="28"/>
          <w:szCs w:val="28"/>
        </w:rPr>
      </w:pPr>
      <w:r w:rsidRPr="003D129E">
        <w:rPr>
          <w:rFonts w:ascii="Nirmala UI" w:hAnsi="Nirmala UI" w:cs="Nirmala UI"/>
          <w:b/>
          <w:bCs/>
          <w:sz w:val="28"/>
          <w:szCs w:val="28"/>
        </w:rPr>
        <w:t>Acciones para mitigar el abandono escolar</w:t>
      </w:r>
    </w:p>
    <w:p w14:paraId="57C12ED4" w14:textId="77777777" w:rsidR="003D129E" w:rsidRPr="003D129E" w:rsidRDefault="003D129E" w:rsidP="003D129E">
      <w:pPr>
        <w:rPr>
          <w:rFonts w:ascii="Nirmala UI" w:hAnsi="Nirmala UI" w:cs="Nirmala UI"/>
        </w:rPr>
      </w:pPr>
    </w:p>
    <w:p w14:paraId="292E5F0C" w14:textId="77777777" w:rsidR="003D129E" w:rsidRPr="003D129E" w:rsidRDefault="003D129E" w:rsidP="003D129E">
      <w:pPr>
        <w:shd w:val="clear" w:color="auto" w:fill="FFFFFF"/>
        <w:spacing w:before="240" w:after="240"/>
        <w:jc w:val="both"/>
        <w:rPr>
          <w:rFonts w:ascii="Nirmala UI" w:eastAsia="Noto Sans" w:hAnsi="Nirmala UI" w:cs="Nirmala UI"/>
          <w:color w:val="0F1115"/>
        </w:rPr>
      </w:pPr>
      <w:r w:rsidRPr="003D129E">
        <w:rPr>
          <w:rFonts w:ascii="Nirmala UI" w:eastAsia="Noto Sans" w:hAnsi="Nirmala UI" w:cs="Nirmala UI"/>
          <w:color w:val="0F1115"/>
        </w:rPr>
        <w:t>El programa de la Especialidad Nacional para el Bienestar Comunitario en Agroecologías y Soberanías Alimentarias (ENBC-ASA) opera bajo un Sistema Integral de Permanencia, el cual se fundamenta en los lineamientos y protocolos establecidos por la Dirección de Posgrados del CIATEJ. Este marco institucional garantiza que las acciones para mitigar el abandono escolar sean sistemáticas, oportunas y respetuosas de los derechos de las y los estudiantes.</w:t>
      </w:r>
    </w:p>
    <w:p w14:paraId="730115A4" w14:textId="77777777" w:rsidR="003D129E" w:rsidRPr="003D129E" w:rsidRDefault="003D129E" w:rsidP="003D129E">
      <w:pPr>
        <w:shd w:val="clear" w:color="auto" w:fill="FFFFFF"/>
        <w:spacing w:before="240" w:after="240"/>
        <w:rPr>
          <w:rFonts w:ascii="Nirmala UI" w:eastAsia="Noto Sans" w:hAnsi="Nirmala UI" w:cs="Nirmala UI"/>
          <w:b/>
          <w:bCs/>
          <w:color w:val="0F1115"/>
        </w:rPr>
      </w:pPr>
      <w:r w:rsidRPr="003D129E">
        <w:rPr>
          <w:rFonts w:ascii="Nirmala UI" w:eastAsia="Noto Sans" w:hAnsi="Nirmala UI" w:cs="Nirmala UI"/>
          <w:b/>
          <w:bCs/>
          <w:color w:val="0F1115"/>
        </w:rPr>
        <w:t>1. Un Modelo Híbrido que Favorece la Permanencia</w:t>
      </w:r>
    </w:p>
    <w:p w14:paraId="0BA81CF5" w14:textId="77777777" w:rsidR="003D129E" w:rsidRPr="003D129E" w:rsidRDefault="003D129E" w:rsidP="003D129E">
      <w:pPr>
        <w:numPr>
          <w:ilvl w:val="0"/>
          <w:numId w:val="16"/>
        </w:numPr>
        <w:shd w:val="clear" w:color="auto" w:fill="FFFFFF"/>
        <w:spacing w:before="240" w:after="240" w:line="276" w:lineRule="auto"/>
        <w:jc w:val="both"/>
        <w:rPr>
          <w:rFonts w:ascii="Nirmala UI" w:eastAsia="Noto Sans" w:hAnsi="Nirmala UI" w:cs="Nirmala UI"/>
        </w:rPr>
      </w:pPr>
      <w:r w:rsidRPr="003D129E">
        <w:rPr>
          <w:rFonts w:ascii="Nirmala UI" w:eastAsia="Noto Sans" w:hAnsi="Nirmala UI" w:cs="Nirmala UI"/>
          <w:b/>
          <w:bCs/>
          <w:color w:val="0F1115"/>
        </w:rPr>
        <w:t>Flexibilidad y Pertinencia del Diseño Modal</w:t>
      </w:r>
      <w:r w:rsidRPr="003D129E">
        <w:rPr>
          <w:rFonts w:ascii="Nirmala UI" w:eastAsia="Noto Sans" w:hAnsi="Nirmala UI" w:cs="Nirmala UI"/>
          <w:color w:val="0F1115"/>
        </w:rPr>
        <w:t xml:space="preserve">: El programa se imparte bajo una modalidad híbrida, que combina sesiones virtuales sincrónicas con trabajo autónomo en plataforma y, de manera crucial, con la aplicación práctica </w:t>
      </w:r>
      <w:r w:rsidRPr="003D129E">
        <w:rPr>
          <w:rFonts w:ascii="Nirmala UI" w:eastAsia="Noto Sans" w:hAnsi="Nirmala UI" w:cs="Nirmala UI"/>
          <w:i/>
          <w:iCs/>
          <w:color w:val="0F1115"/>
        </w:rPr>
        <w:t>in situ</w:t>
      </w:r>
      <w:r w:rsidRPr="003D129E">
        <w:rPr>
          <w:rFonts w:ascii="Nirmala UI" w:eastAsia="Noto Sans" w:hAnsi="Nirmala UI" w:cs="Nirmala UI"/>
          <w:color w:val="0F1115"/>
        </w:rPr>
        <w:t xml:space="preserve"> en los territorios. Este diseño es fundamental para la permanencia, ya que permite a las y los estudiantes organizar sus tiempos de estudio y la ejecución de sus Planes de Acción Territorial de manera integrada con sus labores y compromisos comunitarios preexistentes. Al no requerir una reubicación geográfica permanente y adaptarse a la realidad de cada estudiante, el modelo elimina una de las barreras tradicionales más grandes para el acceso y conclusión de un posgrado.</w:t>
      </w:r>
    </w:p>
    <w:p w14:paraId="4B6B9787" w14:textId="77777777" w:rsidR="003D129E" w:rsidRPr="003D129E" w:rsidRDefault="003D129E" w:rsidP="003D129E">
      <w:pPr>
        <w:shd w:val="clear" w:color="auto" w:fill="FFFFFF"/>
        <w:spacing w:before="240" w:after="240"/>
        <w:rPr>
          <w:rFonts w:ascii="Nirmala UI" w:eastAsia="Noto Sans" w:hAnsi="Nirmala UI" w:cs="Nirmala UI"/>
          <w:b/>
          <w:bCs/>
          <w:color w:val="0F1115"/>
        </w:rPr>
      </w:pPr>
      <w:r w:rsidRPr="003D129E">
        <w:rPr>
          <w:rFonts w:ascii="Nirmala UI" w:eastAsia="Noto Sans" w:hAnsi="Nirmala UI" w:cs="Nirmala UI"/>
          <w:b/>
          <w:bCs/>
          <w:color w:val="0F1115"/>
        </w:rPr>
        <w:t>2. Gestión Administrativa y de Becas como Soporte Fundamental</w:t>
      </w:r>
    </w:p>
    <w:p w14:paraId="79A0FC8B" w14:textId="7CE761B2" w:rsidR="003D129E" w:rsidRPr="003D129E" w:rsidRDefault="003D129E" w:rsidP="003D129E">
      <w:pPr>
        <w:numPr>
          <w:ilvl w:val="0"/>
          <w:numId w:val="19"/>
        </w:numPr>
        <w:shd w:val="clear" w:color="auto" w:fill="FFFFFF"/>
        <w:spacing w:before="240" w:after="240" w:line="276" w:lineRule="auto"/>
        <w:jc w:val="both"/>
        <w:rPr>
          <w:rFonts w:ascii="Nirmala UI" w:eastAsia="Noto Sans" w:hAnsi="Nirmala UI" w:cs="Nirmala UI"/>
        </w:rPr>
      </w:pPr>
      <w:r w:rsidRPr="003D129E">
        <w:rPr>
          <w:rFonts w:ascii="Nirmala UI" w:eastAsia="Noto Sans" w:hAnsi="Nirmala UI" w:cs="Nirmala UI"/>
          <w:b/>
          <w:bCs/>
          <w:color w:val="0F1115"/>
        </w:rPr>
        <w:t>Gestión y Liberación Oportuna de Becas</w:t>
      </w:r>
      <w:r w:rsidRPr="003D129E">
        <w:rPr>
          <w:rFonts w:ascii="Nirmala UI" w:eastAsia="Noto Sans" w:hAnsi="Nirmala UI" w:cs="Nirmala UI"/>
          <w:color w:val="0F1115"/>
        </w:rPr>
        <w:t>: La Dirección de Posgrados del CIATEJ tiene como una de sus misiones estratégicas garantizar la operatividad del apoyo económico. Esto implica realizar los trámites y reportes necesarios ante el Sistema de Becas Nacionales de la SECIHTI para asegurar que las becas de manutención sean liberadas en tiempo y forma. La certeza de contar con este apoyo económico es un factor determinante para que las y los estudiantes, muchos de ellos provenientes de contextos de vulnerabilidad, puedan dedicarse a sus estudios sin verse forzados al abandono por razones económicas.</w:t>
      </w:r>
    </w:p>
    <w:p w14:paraId="539BE37F" w14:textId="77777777" w:rsidR="003D129E" w:rsidRPr="003D129E" w:rsidRDefault="003D129E" w:rsidP="003D129E">
      <w:pPr>
        <w:shd w:val="clear" w:color="auto" w:fill="FFFFFF"/>
        <w:spacing w:before="240" w:after="240" w:line="276" w:lineRule="auto"/>
        <w:ind w:left="720"/>
        <w:jc w:val="both"/>
        <w:rPr>
          <w:rFonts w:ascii="Nirmala UI" w:eastAsia="Noto Sans" w:hAnsi="Nirmala UI" w:cs="Nirmala UI"/>
        </w:rPr>
      </w:pPr>
    </w:p>
    <w:p w14:paraId="30054CEB" w14:textId="77777777" w:rsidR="003D129E" w:rsidRPr="003D129E" w:rsidRDefault="003D129E" w:rsidP="003D129E">
      <w:pPr>
        <w:shd w:val="clear" w:color="auto" w:fill="FFFFFF"/>
        <w:spacing w:before="240" w:after="240"/>
        <w:rPr>
          <w:rFonts w:ascii="Nirmala UI" w:eastAsia="Noto Sans" w:hAnsi="Nirmala UI" w:cs="Nirmala UI"/>
          <w:color w:val="0F1115"/>
        </w:rPr>
      </w:pPr>
      <w:r w:rsidRPr="003D129E">
        <w:rPr>
          <w:rFonts w:ascii="Nirmala UI" w:eastAsia="Noto Sans" w:hAnsi="Nirmala UI" w:cs="Nirmala UI"/>
          <w:b/>
          <w:bCs/>
          <w:color w:val="0F1115"/>
        </w:rPr>
        <w:lastRenderedPageBreak/>
        <w:t>3. Acompañamiento Académico Personalizado</w:t>
      </w:r>
    </w:p>
    <w:p w14:paraId="5664A6EA" w14:textId="77777777" w:rsidR="003D129E" w:rsidRPr="003D129E" w:rsidRDefault="003D129E" w:rsidP="003D129E">
      <w:pPr>
        <w:numPr>
          <w:ilvl w:val="0"/>
          <w:numId w:val="21"/>
        </w:numPr>
        <w:shd w:val="clear" w:color="auto" w:fill="FFFFFF"/>
        <w:spacing w:before="240" w:after="240" w:line="276" w:lineRule="auto"/>
        <w:jc w:val="both"/>
        <w:rPr>
          <w:rFonts w:ascii="Nirmala UI" w:eastAsia="Noto Sans" w:hAnsi="Nirmala UI" w:cs="Nirmala UI"/>
        </w:rPr>
      </w:pPr>
      <w:r w:rsidRPr="003D129E">
        <w:rPr>
          <w:rFonts w:ascii="Nirmala UI" w:eastAsia="Noto Sans" w:hAnsi="Nirmala UI" w:cs="Nirmala UI"/>
          <w:b/>
          <w:bCs/>
          <w:color w:val="0F1115"/>
        </w:rPr>
        <w:t>Seguimiento Tutorial Continuo</w:t>
      </w:r>
      <w:r w:rsidRPr="003D129E">
        <w:rPr>
          <w:rFonts w:ascii="Nirmala UI" w:eastAsia="Noto Sans" w:hAnsi="Nirmala UI" w:cs="Nirmala UI"/>
          <w:color w:val="0F1115"/>
        </w:rPr>
        <w:t xml:space="preserve">: Cada estudiante recibe, a lo largo de los 24 meses del programa, un seguimiento personalizado por parte de su </w:t>
      </w:r>
      <w:proofErr w:type="gramStart"/>
      <w:r w:rsidRPr="003D129E">
        <w:rPr>
          <w:rFonts w:ascii="Nirmala UI" w:eastAsia="Noto Sans" w:hAnsi="Nirmala UI" w:cs="Nirmala UI"/>
          <w:color w:val="0F1115"/>
        </w:rPr>
        <w:t>Director</w:t>
      </w:r>
      <w:proofErr w:type="gramEnd"/>
      <w:r w:rsidRPr="003D129E">
        <w:rPr>
          <w:rFonts w:ascii="Nirmala UI" w:eastAsia="Noto Sans" w:hAnsi="Nirmala UI" w:cs="Nirmala UI"/>
          <w:color w:val="0F1115"/>
        </w:rPr>
        <w:t>/a de proyecto. Este acompañamiento consiste en la revisión y retroalimentación sistemática de sus avances en el curso de Metodología de la Investigación-Acción Participativa (MIAP), permitiendo una comprensión profunda de su realidad específica y de los desafíos que enfrenta en el territorio para la implementación de su Plan de Acción Territorial.</w:t>
      </w:r>
    </w:p>
    <w:p w14:paraId="6E644D26" w14:textId="77777777" w:rsidR="003D129E" w:rsidRPr="003D129E" w:rsidRDefault="003D129E" w:rsidP="003D129E">
      <w:pPr>
        <w:shd w:val="clear" w:color="auto" w:fill="FFFFFF"/>
        <w:spacing w:before="240" w:after="240"/>
        <w:rPr>
          <w:rFonts w:ascii="Nirmala UI" w:eastAsia="Noto Sans" w:hAnsi="Nirmala UI" w:cs="Nirmala UI"/>
          <w:b/>
          <w:bCs/>
          <w:color w:val="0F1115"/>
        </w:rPr>
      </w:pPr>
      <w:r w:rsidRPr="003D129E">
        <w:rPr>
          <w:rFonts w:ascii="Nirmala UI" w:eastAsia="Noto Sans" w:hAnsi="Nirmala UI" w:cs="Nirmala UI"/>
          <w:b/>
          <w:bCs/>
          <w:color w:val="0F1115"/>
        </w:rPr>
        <w:t>4</w:t>
      </w:r>
      <w:r w:rsidRPr="003D129E">
        <w:rPr>
          <w:rFonts w:ascii="Nirmala UI" w:eastAsia="Noto Sans" w:hAnsi="Nirmala UI" w:cs="Nirmala UI"/>
          <w:color w:val="0F1115"/>
        </w:rPr>
        <w:t xml:space="preserve">. </w:t>
      </w:r>
      <w:r w:rsidRPr="003D129E">
        <w:rPr>
          <w:rFonts w:ascii="Nirmala UI" w:eastAsia="Noto Sans" w:hAnsi="Nirmala UI" w:cs="Nirmala UI"/>
          <w:b/>
          <w:bCs/>
          <w:color w:val="0F1115"/>
        </w:rPr>
        <w:t>Mecanismos de Apoyo y Flexibilidad ante Contingencias, con Sustento en Protocolos Institucionales</w:t>
      </w:r>
    </w:p>
    <w:p w14:paraId="18F0AB76" w14:textId="564785D6" w:rsidR="003D129E" w:rsidRPr="003D129E" w:rsidRDefault="003D129E" w:rsidP="003D129E">
      <w:pPr>
        <w:pStyle w:val="Prrafodelista"/>
        <w:numPr>
          <w:ilvl w:val="0"/>
          <w:numId w:val="22"/>
        </w:numPr>
        <w:jc w:val="both"/>
        <w:rPr>
          <w:rFonts w:ascii="Nirmala UI" w:eastAsiaTheme="minorEastAsia" w:hAnsi="Nirmala UI" w:cs="Nirmala UI"/>
          <w:b/>
          <w:bCs/>
          <w:color w:val="000000" w:themeColor="text1"/>
          <w:sz w:val="24"/>
          <w:szCs w:val="24"/>
        </w:rPr>
      </w:pPr>
      <w:r w:rsidRPr="003D129E">
        <w:rPr>
          <w:rFonts w:ascii="Nirmala UI" w:eastAsia="Noto Sans" w:hAnsi="Nirmala UI" w:cs="Nirmala UI"/>
          <w:b/>
          <w:bCs/>
          <w:color w:val="0F1115"/>
          <w:sz w:val="24"/>
          <w:szCs w:val="24"/>
        </w:rPr>
        <w:t>Protocolo de Comunicación y Canalización</w:t>
      </w:r>
      <w:r w:rsidRPr="003D129E">
        <w:rPr>
          <w:rFonts w:ascii="Nirmala UI" w:eastAsia="Noto Sans" w:hAnsi="Nirmala UI" w:cs="Nirmala UI"/>
          <w:color w:val="0F1115"/>
          <w:sz w:val="24"/>
          <w:szCs w:val="24"/>
        </w:rPr>
        <w:t>: Se cuenta con un canal directo y expedito con el Área de Posgrados del CIATEJ para atender situaciones críticas, dando cumplimiento al "</w:t>
      </w:r>
      <w:r w:rsidRPr="003D129E">
        <w:rPr>
          <w:rFonts w:ascii="Nirmala UI" w:hAnsi="Nirmala UI" w:cs="Nirmala UI"/>
          <w:b/>
          <w:bCs/>
          <w:color w:val="000000" w:themeColor="text1"/>
          <w:sz w:val="24"/>
          <w:szCs w:val="24"/>
        </w:rPr>
        <w:t xml:space="preserve"> </w:t>
      </w:r>
      <w:r w:rsidRPr="003D129E">
        <w:rPr>
          <w:rFonts w:ascii="Nirmala UI" w:hAnsi="Nirmala UI" w:cs="Nirmala UI"/>
          <w:color w:val="000000" w:themeColor="text1"/>
          <w:sz w:val="24"/>
          <w:szCs w:val="24"/>
        </w:rPr>
        <w:t>Protocolo Institucional para la Atención de Controversias y Actos de Violencia</w:t>
      </w:r>
      <w:r w:rsidRPr="003D129E">
        <w:rPr>
          <w:rFonts w:ascii="Nirmala UI" w:eastAsia="Noto Sans" w:hAnsi="Nirmala UI" w:cs="Nirmala UI"/>
          <w:color w:val="0F1115"/>
          <w:sz w:val="24"/>
          <w:szCs w:val="24"/>
        </w:rPr>
        <w:t xml:space="preserve">". </w:t>
      </w:r>
      <w:r w:rsidRPr="003D129E">
        <w:rPr>
          <w:rFonts w:ascii="Nirmala UI" w:eastAsia="Noto Sans" w:hAnsi="Nirmala UI" w:cs="Nirmala UI"/>
          <w:color w:val="0F1115"/>
          <w:sz w:val="24"/>
          <w:szCs w:val="24"/>
        </w:rPr>
        <w:t>Lo que nos</w:t>
      </w:r>
      <w:r w:rsidRPr="003D129E">
        <w:rPr>
          <w:rFonts w:ascii="Nirmala UI" w:eastAsia="Noto Sans" w:hAnsi="Nirmala UI" w:cs="Nirmala UI"/>
          <w:color w:val="0F1115"/>
          <w:sz w:val="24"/>
          <w:szCs w:val="24"/>
        </w:rPr>
        <w:t xml:space="preserve"> permite actuar con celeridad y apego a la normativa en casos de dificultades de salud, problemas familiares o casos de violencia en el territorio.</w:t>
      </w:r>
    </w:p>
    <w:p w14:paraId="63EE7CB2" w14:textId="2179481C" w:rsidR="003D129E" w:rsidRPr="003D129E" w:rsidRDefault="003D129E" w:rsidP="003D129E">
      <w:pPr>
        <w:numPr>
          <w:ilvl w:val="0"/>
          <w:numId w:val="17"/>
        </w:numPr>
        <w:shd w:val="clear" w:color="auto" w:fill="FFFFFF"/>
        <w:spacing w:after="240" w:line="276" w:lineRule="auto"/>
        <w:jc w:val="both"/>
        <w:rPr>
          <w:rFonts w:ascii="Nirmala UI" w:eastAsia="Noto Sans" w:hAnsi="Nirmala UI" w:cs="Nirmala UI"/>
        </w:rPr>
      </w:pPr>
      <w:r w:rsidRPr="003D129E">
        <w:rPr>
          <w:rFonts w:ascii="Nirmala UI" w:eastAsia="Noto Sans" w:hAnsi="Nirmala UI" w:cs="Nirmala UI"/>
          <w:b/>
          <w:bCs/>
          <w:color w:val="0F1115"/>
        </w:rPr>
        <w:t>Flexibilización de Cargas Académicas</w:t>
      </w:r>
      <w:r w:rsidRPr="003D129E">
        <w:rPr>
          <w:rFonts w:ascii="Nirmala UI" w:eastAsia="Noto Sans" w:hAnsi="Nirmala UI" w:cs="Nirmala UI"/>
          <w:color w:val="0F1115"/>
        </w:rPr>
        <w:t xml:space="preserve">: Como medida de protección al estudiante, y en estricto apego a los </w:t>
      </w:r>
      <w:r w:rsidRPr="003D129E">
        <w:rPr>
          <w:rFonts w:ascii="Nirmala UI" w:eastAsia="Noto Sans" w:hAnsi="Nirmala UI" w:cs="Nirmala UI"/>
        </w:rPr>
        <w:t xml:space="preserve">Lineamientos de </w:t>
      </w:r>
      <w:r>
        <w:rPr>
          <w:rFonts w:ascii="Nirmala UI" w:eastAsia="Noto Sans" w:hAnsi="Nirmala UI" w:cs="Nirmala UI"/>
        </w:rPr>
        <w:t>estudios de posgrado</w:t>
      </w:r>
      <w:r w:rsidRPr="003D129E">
        <w:rPr>
          <w:rFonts w:ascii="Nirmala UI" w:eastAsia="Noto Sans" w:hAnsi="Nirmala UI" w:cs="Nirmala UI"/>
        </w:rPr>
        <w:t xml:space="preserve"> del CIATEJ</w:t>
      </w:r>
      <w:r w:rsidRPr="003D129E">
        <w:rPr>
          <w:rFonts w:ascii="Nirmala UI" w:eastAsia="Noto Sans" w:hAnsi="Nirmala UI" w:cs="Nirmala UI"/>
          <w:color w:val="0F1115"/>
        </w:rPr>
        <w:t>, se otorgan prórrogas justificadas en la entrega de trabajos y actividades en casos debidamente acreditados de salud, embarazo, lactancia o situaciones de violencia en el territorio, garantizando que circunstancias ajenas a su voluntad no comprometan su permanencia.</w:t>
      </w:r>
    </w:p>
    <w:p w14:paraId="4F32A6A8" w14:textId="77777777" w:rsidR="003D129E" w:rsidRPr="003D129E" w:rsidRDefault="003D129E" w:rsidP="003D129E">
      <w:pPr>
        <w:shd w:val="clear" w:color="auto" w:fill="FFFFFF"/>
        <w:spacing w:before="240" w:after="240"/>
        <w:rPr>
          <w:rFonts w:ascii="Nirmala UI" w:eastAsia="Noto Sans" w:hAnsi="Nirmala UI" w:cs="Nirmala UI"/>
          <w:color w:val="0F1115"/>
        </w:rPr>
      </w:pPr>
      <w:r w:rsidRPr="003D129E">
        <w:rPr>
          <w:rFonts w:ascii="Nirmala UI" w:eastAsia="Noto Sans" w:hAnsi="Nirmala UI" w:cs="Nirmala UI"/>
          <w:b/>
          <w:bCs/>
          <w:color w:val="0F1115"/>
        </w:rPr>
        <w:t>5</w:t>
      </w:r>
      <w:r w:rsidRPr="003D129E">
        <w:rPr>
          <w:rFonts w:ascii="Nirmala UI" w:eastAsia="Noto Sans" w:hAnsi="Nirmala UI" w:cs="Nirmala UI"/>
          <w:color w:val="0F1115"/>
        </w:rPr>
        <w:t xml:space="preserve">. </w:t>
      </w:r>
      <w:r w:rsidRPr="003D129E">
        <w:rPr>
          <w:rFonts w:ascii="Nirmala UI" w:eastAsia="Noto Sans" w:hAnsi="Nirmala UI" w:cs="Nirmala UI"/>
          <w:b/>
          <w:bCs/>
          <w:color w:val="0F1115"/>
        </w:rPr>
        <w:t>Intervención Proactiva y Estrategias Correctivas</w:t>
      </w:r>
    </w:p>
    <w:p w14:paraId="65306DBF" w14:textId="77777777" w:rsidR="003D129E" w:rsidRPr="003D129E" w:rsidRDefault="003D129E" w:rsidP="003D129E">
      <w:pPr>
        <w:numPr>
          <w:ilvl w:val="0"/>
          <w:numId w:val="18"/>
        </w:numPr>
        <w:shd w:val="clear" w:color="auto" w:fill="FFFFFF"/>
        <w:spacing w:before="240" w:line="276" w:lineRule="auto"/>
        <w:jc w:val="both"/>
        <w:rPr>
          <w:rFonts w:ascii="Nirmala UI" w:eastAsia="Noto Sans" w:hAnsi="Nirmala UI" w:cs="Nirmala UI"/>
        </w:rPr>
      </w:pPr>
      <w:r w:rsidRPr="003D129E">
        <w:rPr>
          <w:rFonts w:ascii="Nirmala UI" w:eastAsia="Noto Sans" w:hAnsi="Nirmala UI" w:cs="Nirmala UI"/>
          <w:b/>
          <w:bCs/>
          <w:color w:val="0F1115"/>
        </w:rPr>
        <w:t>Atención Personalizada en Situaciones de Riesgo</w:t>
      </w:r>
      <w:r w:rsidRPr="003D129E">
        <w:rPr>
          <w:rFonts w:ascii="Nirmala UI" w:eastAsia="Noto Sans" w:hAnsi="Nirmala UI" w:cs="Nirmala UI"/>
          <w:color w:val="0F1115"/>
        </w:rPr>
        <w:t xml:space="preserve">: Se realizan reuniones individualizadas vía videollamada con aquellos estudiantes que presentan dificultades académicas o personales. El objetivo de estas sesiones es </w:t>
      </w:r>
      <w:proofErr w:type="spellStart"/>
      <w:r w:rsidRPr="003D129E">
        <w:rPr>
          <w:rFonts w:ascii="Nirmala UI" w:eastAsia="Noto Sans" w:hAnsi="Nirmala UI" w:cs="Nirmala UI"/>
          <w:color w:val="0F1115"/>
        </w:rPr>
        <w:t>co-construir</w:t>
      </w:r>
      <w:proofErr w:type="spellEnd"/>
      <w:r w:rsidRPr="003D129E">
        <w:rPr>
          <w:rFonts w:ascii="Nirmala UI" w:eastAsia="Noto Sans" w:hAnsi="Nirmala UI" w:cs="Nirmala UI"/>
          <w:color w:val="0F1115"/>
        </w:rPr>
        <w:t>, de manera colaborativa, estrategias y planes de acción personalizados que les permitan cumplir con sus actividades académicas sin detrimento de su bienestar.</w:t>
      </w:r>
    </w:p>
    <w:p w14:paraId="0DEF15C0" w14:textId="6C353D72" w:rsidR="003D129E" w:rsidRPr="003D129E" w:rsidRDefault="003D129E" w:rsidP="003D129E">
      <w:pPr>
        <w:numPr>
          <w:ilvl w:val="0"/>
          <w:numId w:val="18"/>
        </w:numPr>
        <w:shd w:val="clear" w:color="auto" w:fill="FFFFFF"/>
        <w:spacing w:after="240" w:line="276" w:lineRule="auto"/>
        <w:jc w:val="both"/>
        <w:rPr>
          <w:rFonts w:ascii="Nirmala UI" w:eastAsia="Noto Sans" w:hAnsi="Nirmala UI" w:cs="Nirmala UI"/>
        </w:rPr>
      </w:pPr>
      <w:r w:rsidRPr="003D129E">
        <w:rPr>
          <w:rFonts w:ascii="Nirmala UI" w:eastAsia="Noto Sans" w:hAnsi="Nirmala UI" w:cs="Nirmala UI"/>
          <w:b/>
          <w:bCs/>
          <w:color w:val="0F1115"/>
        </w:rPr>
        <w:t>Comité de Análisis para la Permanencia:</w:t>
      </w:r>
      <w:r w:rsidRPr="003D129E">
        <w:rPr>
          <w:rFonts w:ascii="Nirmala UI" w:eastAsia="Noto Sans" w:hAnsi="Nirmala UI" w:cs="Nirmala UI"/>
          <w:color w:val="0F1115"/>
        </w:rPr>
        <w:t xml:space="preserve"> Se establece un diálogo permanente entre la </w:t>
      </w:r>
      <w:r>
        <w:rPr>
          <w:rFonts w:ascii="Nirmala UI" w:eastAsia="Noto Sans" w:hAnsi="Nirmala UI" w:cs="Nirmala UI"/>
          <w:color w:val="0F1115"/>
        </w:rPr>
        <w:t xml:space="preserve">coordinación </w:t>
      </w:r>
      <w:r w:rsidRPr="003D129E">
        <w:rPr>
          <w:rFonts w:ascii="Nirmala UI" w:eastAsia="Noto Sans" w:hAnsi="Nirmala UI" w:cs="Nirmala UI"/>
          <w:color w:val="0F1115"/>
        </w:rPr>
        <w:t xml:space="preserve">del programa y la Dirección de Posgrados </w:t>
      </w:r>
      <w:r w:rsidRPr="003D129E">
        <w:rPr>
          <w:rFonts w:ascii="Nirmala UI" w:eastAsia="Noto Sans" w:hAnsi="Nirmala UI" w:cs="Nirmala UI"/>
          <w:color w:val="0F1115"/>
        </w:rPr>
        <w:lastRenderedPageBreak/>
        <w:t>del CIATEJ para identificar de manera temprana a estudiantes en situación de vulnerabilidad. Este análisis conjunto, fundamentado en los Procedimientos del Comité Tutorial Institucional, permite implementar acciones de apoyo específicas y oportunas para prevenir la deserción.</w:t>
      </w:r>
    </w:p>
    <w:p w14:paraId="282226AA" w14:textId="77777777" w:rsidR="003D129E" w:rsidRPr="003D129E" w:rsidRDefault="003D129E" w:rsidP="003D129E">
      <w:pPr>
        <w:shd w:val="clear" w:color="auto" w:fill="FFFFFF"/>
        <w:spacing w:before="240" w:after="240"/>
        <w:rPr>
          <w:rFonts w:ascii="Nirmala UI" w:eastAsia="Noto Sans" w:hAnsi="Nirmala UI" w:cs="Nirmala UI"/>
          <w:color w:val="0F1115"/>
        </w:rPr>
      </w:pPr>
      <w:r w:rsidRPr="003D129E">
        <w:rPr>
          <w:rFonts w:ascii="Nirmala UI" w:eastAsia="Noto Sans" w:hAnsi="Nirmala UI" w:cs="Nirmala UI"/>
          <w:b/>
          <w:bCs/>
          <w:color w:val="0F1115"/>
        </w:rPr>
        <w:t>6</w:t>
      </w:r>
      <w:r w:rsidRPr="003D129E">
        <w:rPr>
          <w:rFonts w:ascii="Nirmala UI" w:eastAsia="Noto Sans" w:hAnsi="Nirmala UI" w:cs="Nirmala UI"/>
          <w:color w:val="0F1115"/>
        </w:rPr>
        <w:t xml:space="preserve">. </w:t>
      </w:r>
      <w:r w:rsidRPr="003D129E">
        <w:rPr>
          <w:rFonts w:ascii="Nirmala UI" w:eastAsia="Noto Sans" w:hAnsi="Nirmala UI" w:cs="Nirmala UI"/>
          <w:b/>
          <w:bCs/>
          <w:color w:val="0F1115"/>
        </w:rPr>
        <w:t>Soporte Pedagógico y de Organización</w:t>
      </w:r>
    </w:p>
    <w:p w14:paraId="41321F46" w14:textId="77777777" w:rsidR="003D129E" w:rsidRPr="003D129E" w:rsidRDefault="003D129E" w:rsidP="003D129E">
      <w:pPr>
        <w:numPr>
          <w:ilvl w:val="0"/>
          <w:numId w:val="20"/>
        </w:numPr>
        <w:shd w:val="clear" w:color="auto" w:fill="FFFFFF"/>
        <w:spacing w:before="240" w:line="276" w:lineRule="auto"/>
        <w:jc w:val="both"/>
        <w:rPr>
          <w:rFonts w:ascii="Nirmala UI" w:eastAsia="Noto Sans" w:hAnsi="Nirmala UI" w:cs="Nirmala UI"/>
        </w:rPr>
      </w:pPr>
      <w:r w:rsidRPr="003D129E">
        <w:rPr>
          <w:rFonts w:ascii="Nirmala UI" w:eastAsia="Noto Sans" w:hAnsi="Nirmala UI" w:cs="Nirmala UI"/>
          <w:b/>
          <w:bCs/>
          <w:color w:val="0F1115"/>
        </w:rPr>
        <w:t>Recursos Didácticos para la Gestión del Aprendizaje</w:t>
      </w:r>
      <w:r w:rsidRPr="003D129E">
        <w:rPr>
          <w:rFonts w:ascii="Nirmala UI" w:eastAsia="Noto Sans" w:hAnsi="Nirmala UI" w:cs="Nirmala UI"/>
          <w:color w:val="0F1115"/>
        </w:rPr>
        <w:t>: A través de la plataforma educativa Moodle del programa ENBC-ASA, se proporciona un conjunto de recursos pedagógicos de planeación diseñados para facilitar la organización y el cumplimiento oportuno de las actividades. Estos recursos, alineados con la Política de Educación a Distancia del CIATEJ, incluyen:</w:t>
      </w:r>
    </w:p>
    <w:p w14:paraId="3AE6A043" w14:textId="77777777" w:rsidR="003D129E" w:rsidRPr="003D129E" w:rsidRDefault="003D129E" w:rsidP="003D129E">
      <w:pPr>
        <w:numPr>
          <w:ilvl w:val="1"/>
          <w:numId w:val="20"/>
        </w:numPr>
        <w:spacing w:line="276" w:lineRule="auto"/>
        <w:rPr>
          <w:rFonts w:ascii="Nirmala UI" w:eastAsia="Noto Sans" w:hAnsi="Nirmala UI" w:cs="Nirmala UI"/>
        </w:rPr>
      </w:pPr>
      <w:r w:rsidRPr="003D129E">
        <w:rPr>
          <w:rFonts w:ascii="Nirmala UI" w:eastAsia="Noto Sans" w:hAnsi="Nirmala UI" w:cs="Nirmala UI"/>
          <w:color w:val="0F1115"/>
        </w:rPr>
        <w:t>Calendarios integrados de actividades.</w:t>
      </w:r>
    </w:p>
    <w:p w14:paraId="3C9F1065" w14:textId="77777777" w:rsidR="003D129E" w:rsidRPr="003D129E" w:rsidRDefault="003D129E" w:rsidP="003D129E">
      <w:pPr>
        <w:numPr>
          <w:ilvl w:val="1"/>
          <w:numId w:val="20"/>
        </w:numPr>
        <w:spacing w:line="276" w:lineRule="auto"/>
        <w:rPr>
          <w:rFonts w:ascii="Nirmala UI" w:eastAsia="Noto Sans" w:hAnsi="Nirmala UI" w:cs="Nirmala UI"/>
        </w:rPr>
      </w:pPr>
      <w:r w:rsidRPr="003D129E">
        <w:rPr>
          <w:rFonts w:ascii="Nirmala UI" w:eastAsia="Noto Sans" w:hAnsi="Nirmala UI" w:cs="Nirmala UI"/>
          <w:color w:val="0F1115"/>
        </w:rPr>
        <w:t>Listas de verificación (</w:t>
      </w:r>
      <w:proofErr w:type="spellStart"/>
      <w:r w:rsidRPr="003D129E">
        <w:rPr>
          <w:rFonts w:ascii="Nirmala UI" w:eastAsia="Noto Sans" w:hAnsi="Nirmala UI" w:cs="Nirmala UI"/>
          <w:color w:val="0F1115"/>
        </w:rPr>
        <w:t>checklists</w:t>
      </w:r>
      <w:proofErr w:type="spellEnd"/>
      <w:r w:rsidRPr="003D129E">
        <w:rPr>
          <w:rFonts w:ascii="Nirmala UI" w:eastAsia="Noto Sans" w:hAnsi="Nirmala UI" w:cs="Nirmala UI"/>
          <w:color w:val="0F1115"/>
        </w:rPr>
        <w:t>).</w:t>
      </w:r>
    </w:p>
    <w:p w14:paraId="3D44B54E" w14:textId="77777777" w:rsidR="003D129E" w:rsidRPr="003D129E" w:rsidRDefault="003D129E" w:rsidP="003D129E">
      <w:pPr>
        <w:numPr>
          <w:ilvl w:val="1"/>
          <w:numId w:val="20"/>
        </w:numPr>
        <w:spacing w:line="276" w:lineRule="auto"/>
        <w:rPr>
          <w:rFonts w:ascii="Nirmala UI" w:eastAsia="Noto Sans" w:hAnsi="Nirmala UI" w:cs="Nirmala UI"/>
        </w:rPr>
      </w:pPr>
      <w:r w:rsidRPr="003D129E">
        <w:rPr>
          <w:rFonts w:ascii="Nirmala UI" w:eastAsia="Noto Sans" w:hAnsi="Nirmala UI" w:cs="Nirmala UI"/>
          <w:color w:val="0F1115"/>
        </w:rPr>
        <w:t>Mensajería directa con sus facilitadores.</w:t>
      </w:r>
    </w:p>
    <w:p w14:paraId="0FEC372C" w14:textId="77777777" w:rsidR="003D129E" w:rsidRPr="003D129E" w:rsidRDefault="003D129E" w:rsidP="003D129E">
      <w:pPr>
        <w:numPr>
          <w:ilvl w:val="1"/>
          <w:numId w:val="20"/>
        </w:numPr>
        <w:spacing w:line="276" w:lineRule="auto"/>
        <w:rPr>
          <w:rFonts w:ascii="Nirmala UI" w:eastAsia="Noto Sans" w:hAnsi="Nirmala UI" w:cs="Nirmala UI"/>
        </w:rPr>
      </w:pPr>
      <w:r w:rsidRPr="003D129E">
        <w:rPr>
          <w:rFonts w:ascii="Nirmala UI" w:eastAsia="Noto Sans" w:hAnsi="Nirmala UI" w:cs="Nirmala UI"/>
          <w:color w:val="0F1115"/>
        </w:rPr>
        <w:t>Guías de aprendizaje detalladas.</w:t>
      </w:r>
    </w:p>
    <w:p w14:paraId="740D518C" w14:textId="77777777" w:rsidR="003D129E" w:rsidRPr="003D129E" w:rsidRDefault="003D129E" w:rsidP="003D129E">
      <w:pPr>
        <w:numPr>
          <w:ilvl w:val="1"/>
          <w:numId w:val="20"/>
        </w:numPr>
        <w:spacing w:line="276" w:lineRule="auto"/>
        <w:rPr>
          <w:rFonts w:ascii="Nirmala UI" w:eastAsia="Noto Sans" w:hAnsi="Nirmala UI" w:cs="Nirmala UI"/>
        </w:rPr>
      </w:pPr>
      <w:r w:rsidRPr="003D129E">
        <w:rPr>
          <w:rFonts w:ascii="Nirmala UI" w:eastAsia="Noto Sans" w:hAnsi="Nirmala UI" w:cs="Nirmala UI"/>
          <w:color w:val="0F1115"/>
        </w:rPr>
        <w:t>Foros de dudas y avisos generales.</w:t>
      </w:r>
    </w:p>
    <w:p w14:paraId="3DFE5B66" w14:textId="77777777" w:rsidR="003D129E" w:rsidRPr="003D129E" w:rsidRDefault="003D129E" w:rsidP="003D129E">
      <w:pPr>
        <w:numPr>
          <w:ilvl w:val="0"/>
          <w:numId w:val="20"/>
        </w:numPr>
        <w:shd w:val="clear" w:color="auto" w:fill="FFFFFF"/>
        <w:spacing w:after="240" w:line="276" w:lineRule="auto"/>
        <w:jc w:val="both"/>
        <w:rPr>
          <w:rFonts w:ascii="Nirmala UI" w:eastAsia="Noto Sans" w:hAnsi="Nirmala UI" w:cs="Nirmala UI"/>
        </w:rPr>
      </w:pPr>
      <w:r w:rsidRPr="003D129E">
        <w:rPr>
          <w:rFonts w:ascii="Nirmala UI" w:eastAsia="Noto Sans" w:hAnsi="Nirmala UI" w:cs="Nirmala UI"/>
          <w:b/>
          <w:bCs/>
          <w:color w:val="0F1115"/>
        </w:rPr>
        <w:t>Sesiones Colegiadas de Acompañamiento</w:t>
      </w:r>
      <w:r w:rsidRPr="003D129E">
        <w:rPr>
          <w:rFonts w:ascii="Nirmala UI" w:eastAsia="Noto Sans" w:hAnsi="Nirmala UI" w:cs="Nirmala UI"/>
          <w:color w:val="0F1115"/>
        </w:rPr>
        <w:t>: Se llevan a cabo sesiones académicas semanales o quincenales, organizadas por Nodos y facilitadas por los profesores de cada curso. Estos espacios están destinados a resolver dudas colectivas, explicar a profundidad las actividades de aprendizaje y fortalecer el sentido de comunidad y apoyo mutuo entre los estudiantes.</w:t>
      </w:r>
    </w:p>
    <w:p w14:paraId="6205357D" w14:textId="77777777" w:rsidR="003D129E" w:rsidRPr="003D129E" w:rsidRDefault="003D129E" w:rsidP="003D129E">
      <w:pPr>
        <w:shd w:val="clear" w:color="auto" w:fill="FFFFFF"/>
        <w:spacing w:before="340" w:after="240"/>
        <w:jc w:val="both"/>
        <w:rPr>
          <w:rFonts w:ascii="Nirmala UI" w:eastAsia="Noto Sans" w:hAnsi="Nirmala UI" w:cs="Nirmala UI"/>
          <w:color w:val="0F1115"/>
        </w:rPr>
      </w:pPr>
      <w:r w:rsidRPr="003D129E">
        <w:rPr>
          <w:rFonts w:ascii="Nirmala UI" w:eastAsia="Noto Sans" w:hAnsi="Nirmala UI" w:cs="Nirmala UI"/>
          <w:color w:val="0F1115"/>
          <w:highlight w:val="white"/>
        </w:rPr>
        <w:t>En la primera generación de la ENBC-ASA, de una población total de 185 estudiantes registrados, se reportaron 19 bajas (10.2% de la generación), un índice notablemente bajo para un posgrado de esta naturaleza, lo cual refleja la efectividad de las estrategias de permanencia. Un análisis detallado de los motivos evidencia el funcionamiento de los protocolos establecidos: 6 estudiantes no iniciaron actividades al no completar proceso de solicitud de beca SECIHTI; 9 fueron dados de baja por insuficiencia académica tras agotar todas las instancias de apoyo tutorial y flexibilización de actividades; y 4 solicitaron baja voluntaria por motivos personales y laborales. Estas cifras confirman que el programa logra retener de manera efectiva a la inmensa mayoría de sus estudiantes, incluso ante situaciones académicas complejas, gracias a su sistema de acompañamiento integral.</w:t>
      </w:r>
    </w:p>
    <w:p w14:paraId="7CE1E9A7" w14:textId="77777777" w:rsidR="003D129E" w:rsidRPr="003D129E" w:rsidRDefault="003D129E" w:rsidP="003D129E">
      <w:pPr>
        <w:shd w:val="clear" w:color="auto" w:fill="FFFFFF"/>
        <w:spacing w:before="340" w:after="240"/>
        <w:rPr>
          <w:rFonts w:ascii="Nirmala UI" w:eastAsia="Noto Sans" w:hAnsi="Nirmala UI" w:cs="Nirmala UI"/>
          <w:color w:val="0F1115"/>
        </w:rPr>
      </w:pPr>
    </w:p>
    <w:p w14:paraId="102905D0" w14:textId="77777777" w:rsidR="003D129E" w:rsidRDefault="003D129E" w:rsidP="003D129E">
      <w:pPr>
        <w:shd w:val="clear" w:color="auto" w:fill="FFFFFF"/>
        <w:spacing w:before="240" w:after="240"/>
        <w:jc w:val="both"/>
        <w:rPr>
          <w:rFonts w:ascii="Nirmala UI" w:eastAsia="Noto Sans" w:hAnsi="Nirmala UI" w:cs="Nirmala UI"/>
          <w:color w:val="0F1115"/>
        </w:rPr>
      </w:pPr>
      <w:r w:rsidRPr="003D129E">
        <w:rPr>
          <w:rFonts w:ascii="Nirmala UI" w:eastAsia="Noto Sans" w:hAnsi="Nirmala UI" w:cs="Nirmala UI"/>
          <w:b/>
          <w:bCs/>
          <w:color w:val="0F1115"/>
        </w:rPr>
        <w:t xml:space="preserve">7. </w:t>
      </w:r>
      <w:r w:rsidRPr="003D129E">
        <w:rPr>
          <w:rFonts w:ascii="Nirmala UI" w:eastAsia="Noto Sans" w:hAnsi="Nirmala UI" w:cs="Nirmala UI"/>
          <w:b/>
          <w:bCs/>
          <w:color w:val="0F1115"/>
        </w:rPr>
        <w:t>Conclusión</w:t>
      </w:r>
    </w:p>
    <w:p w14:paraId="01CDA56E" w14:textId="2B344ADF" w:rsidR="003D129E" w:rsidRPr="003D129E" w:rsidRDefault="003D129E" w:rsidP="003D129E">
      <w:pPr>
        <w:shd w:val="clear" w:color="auto" w:fill="FFFFFF"/>
        <w:spacing w:before="240" w:after="240"/>
        <w:jc w:val="both"/>
        <w:rPr>
          <w:rFonts w:ascii="Nirmala UI" w:eastAsia="Noto Sans" w:hAnsi="Nirmala UI" w:cs="Nirmala UI"/>
          <w:color w:val="0F1115"/>
        </w:rPr>
      </w:pPr>
      <w:r w:rsidRPr="003D129E">
        <w:rPr>
          <w:rFonts w:ascii="Nirmala UI" w:eastAsia="Noto Sans" w:hAnsi="Nirmala UI" w:cs="Nirmala UI"/>
          <w:color w:val="0F1115"/>
        </w:rPr>
        <w:t>La implementación de este sistema—que inicia con un modelo híbrido pertinente, se sustenta en la gestión eficaz de las becas y se consolida con un robusto andamiaje de acompañamiento—refleja el compromiso institucional con la conclusión exitosa de la trayectoria formativa. Este enfoque integral posiciona al programa ENBC-ASA como un referente en la mitigación del abandono escolar en posgrados con enfoque comunitario, asegurando que las y los estudiantes cuenten con las condiciones necesarias para culminar su formación e impactar positivamente en sus territorios.</w:t>
      </w:r>
    </w:p>
    <w:p w14:paraId="495026E1" w14:textId="77777777" w:rsidR="003D129E" w:rsidRPr="003D129E" w:rsidRDefault="003D129E" w:rsidP="003D129E">
      <w:pPr>
        <w:rPr>
          <w:rFonts w:ascii="Nirmala UI" w:eastAsia="Roboto" w:hAnsi="Nirmala UI" w:cs="Nirmala UI"/>
          <w:color w:val="0F1115"/>
        </w:rPr>
      </w:pPr>
    </w:p>
    <w:p w14:paraId="22F06F3E" w14:textId="77777777" w:rsidR="003D129E" w:rsidRPr="003D129E" w:rsidRDefault="003D129E" w:rsidP="003D129E">
      <w:pPr>
        <w:rPr>
          <w:rFonts w:ascii="Nirmala UI" w:hAnsi="Nirmala UI" w:cs="Nirmala UI"/>
        </w:rPr>
      </w:pPr>
    </w:p>
    <w:p w14:paraId="7CE85E68" w14:textId="77777777" w:rsidR="003D129E" w:rsidRPr="003D129E" w:rsidRDefault="003D129E" w:rsidP="003D129E">
      <w:pPr>
        <w:rPr>
          <w:rFonts w:ascii="Nirmala UI" w:hAnsi="Nirmala UI" w:cs="Nirmala UI"/>
        </w:rPr>
      </w:pPr>
    </w:p>
    <w:p w14:paraId="797AC785" w14:textId="77777777" w:rsidR="003D129E" w:rsidRPr="003D129E" w:rsidRDefault="003D129E" w:rsidP="003D129E">
      <w:pPr>
        <w:rPr>
          <w:rFonts w:ascii="Nirmala UI" w:hAnsi="Nirmala UI" w:cs="Nirmala UI"/>
        </w:rPr>
      </w:pPr>
    </w:p>
    <w:p w14:paraId="76453060" w14:textId="77777777" w:rsidR="003D129E" w:rsidRPr="003D129E" w:rsidRDefault="003D129E" w:rsidP="003D129E">
      <w:pPr>
        <w:rPr>
          <w:rFonts w:ascii="Nirmala UI" w:hAnsi="Nirmala UI" w:cs="Nirmala UI"/>
        </w:rPr>
      </w:pPr>
    </w:p>
    <w:p w14:paraId="575DC4D7" w14:textId="77777777" w:rsidR="003D129E" w:rsidRPr="003D129E" w:rsidRDefault="003D129E" w:rsidP="003D129E">
      <w:pPr>
        <w:rPr>
          <w:rFonts w:ascii="Nirmala UI" w:hAnsi="Nirmala UI" w:cs="Nirmala UI"/>
        </w:rPr>
      </w:pPr>
    </w:p>
    <w:p w14:paraId="43555096" w14:textId="77777777" w:rsidR="003D129E" w:rsidRPr="003D129E" w:rsidRDefault="003D129E" w:rsidP="003D129E">
      <w:pPr>
        <w:rPr>
          <w:rFonts w:ascii="Nirmala UI" w:hAnsi="Nirmala UI" w:cs="Nirmala UI"/>
        </w:rPr>
      </w:pPr>
    </w:p>
    <w:p w14:paraId="3B015439" w14:textId="77777777" w:rsidR="003D129E" w:rsidRPr="003D129E" w:rsidRDefault="003D129E" w:rsidP="003D129E">
      <w:pPr>
        <w:rPr>
          <w:rFonts w:ascii="Nirmala UI" w:hAnsi="Nirmala UI" w:cs="Nirmala UI"/>
        </w:rPr>
      </w:pPr>
    </w:p>
    <w:p w14:paraId="3D08DE5B" w14:textId="77777777" w:rsidR="003D129E" w:rsidRPr="003D129E" w:rsidRDefault="003D129E" w:rsidP="003D129E">
      <w:pPr>
        <w:spacing w:line="259" w:lineRule="auto"/>
        <w:rPr>
          <w:rFonts w:ascii="Nirmala UI" w:eastAsia="Calibri" w:hAnsi="Nirmala UI" w:cs="Nirmala UI"/>
        </w:rPr>
      </w:pPr>
    </w:p>
    <w:p w14:paraId="1847261F" w14:textId="77777777" w:rsidR="003D129E" w:rsidRPr="003D129E" w:rsidRDefault="003D129E" w:rsidP="003D129E">
      <w:pPr>
        <w:spacing w:line="259" w:lineRule="auto"/>
        <w:rPr>
          <w:rFonts w:ascii="Nirmala UI" w:eastAsia="Calibri" w:hAnsi="Nirmala UI" w:cs="Nirmala UI"/>
        </w:rPr>
      </w:pPr>
    </w:p>
    <w:p w14:paraId="17181664" w14:textId="77777777" w:rsidR="00D055F5" w:rsidRPr="003D129E" w:rsidRDefault="00D055F5" w:rsidP="003D129E">
      <w:pPr>
        <w:rPr>
          <w:rFonts w:ascii="Nirmala UI" w:hAnsi="Nirmala UI" w:cs="Nirmala UI"/>
        </w:rPr>
      </w:pPr>
    </w:p>
    <w:sectPr w:rsidR="00D055F5" w:rsidRPr="003D129E"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5382" w14:textId="77777777" w:rsidR="0071645D" w:rsidRDefault="0071645D" w:rsidP="00A73D65">
      <w:r>
        <w:separator/>
      </w:r>
    </w:p>
  </w:endnote>
  <w:endnote w:type="continuationSeparator" w:id="0">
    <w:p w14:paraId="12DA3317" w14:textId="77777777" w:rsidR="0071645D" w:rsidRDefault="0071645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Mangal"/>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BE74" w14:textId="77777777" w:rsidR="0071645D" w:rsidRDefault="0071645D" w:rsidP="00A73D65">
      <w:r>
        <w:separator/>
      </w:r>
    </w:p>
  </w:footnote>
  <w:footnote w:type="continuationSeparator" w:id="0">
    <w:p w14:paraId="47571210" w14:textId="77777777" w:rsidR="0071645D" w:rsidRDefault="0071645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9440B9"/>
    <w:multiLevelType w:val="multilevel"/>
    <w:tmpl w:val="4F8E4AE2"/>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66CFB"/>
    <w:multiLevelType w:val="hybridMultilevel"/>
    <w:tmpl w:val="52CCE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C4E"/>
    <w:multiLevelType w:val="multilevel"/>
    <w:tmpl w:val="57945A9E"/>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341BBF"/>
    <w:multiLevelType w:val="multilevel"/>
    <w:tmpl w:val="65C00DBC"/>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0F314B"/>
    <w:multiLevelType w:val="multilevel"/>
    <w:tmpl w:val="7AD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405FC"/>
    <w:multiLevelType w:val="multilevel"/>
    <w:tmpl w:val="8EB08A5A"/>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9" w15:restartNumberingAfterBreak="0">
    <w:nsid w:val="798109D6"/>
    <w:multiLevelType w:val="multilevel"/>
    <w:tmpl w:val="02DE68A4"/>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rFonts w:ascii="Roboto" w:eastAsia="Roboto" w:hAnsi="Roboto" w:cs="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7E9C075D"/>
    <w:multiLevelType w:val="multilevel"/>
    <w:tmpl w:val="71EC0966"/>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7"/>
  </w:num>
  <w:num w:numId="3">
    <w:abstractNumId w:val="1"/>
  </w:num>
  <w:num w:numId="4">
    <w:abstractNumId w:val="20"/>
  </w:num>
  <w:num w:numId="5">
    <w:abstractNumId w:val="9"/>
  </w:num>
  <w:num w:numId="6">
    <w:abstractNumId w:val="0"/>
  </w:num>
  <w:num w:numId="7">
    <w:abstractNumId w:val="7"/>
  </w:num>
  <w:num w:numId="8">
    <w:abstractNumId w:val="10"/>
  </w:num>
  <w:num w:numId="9">
    <w:abstractNumId w:val="12"/>
  </w:num>
  <w:num w:numId="10">
    <w:abstractNumId w:val="2"/>
  </w:num>
  <w:num w:numId="11">
    <w:abstractNumId w:val="8"/>
  </w:num>
  <w:num w:numId="12">
    <w:abstractNumId w:val="15"/>
  </w:num>
  <w:num w:numId="13">
    <w:abstractNumId w:val="14"/>
  </w:num>
  <w:num w:numId="14">
    <w:abstractNumId w:val="16"/>
  </w:num>
  <w:num w:numId="15">
    <w:abstractNumId w:val="11"/>
  </w:num>
  <w:num w:numId="16">
    <w:abstractNumId w:val="6"/>
  </w:num>
  <w:num w:numId="17">
    <w:abstractNumId w:val="3"/>
  </w:num>
  <w:num w:numId="18">
    <w:abstractNumId w:val="5"/>
  </w:num>
  <w:num w:numId="19">
    <w:abstractNumId w:val="21"/>
  </w:num>
  <w:num w:numId="20">
    <w:abstractNumId w:val="19"/>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D129E"/>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1645D"/>
    <w:rsid w:val="00733712"/>
    <w:rsid w:val="007421E3"/>
    <w:rsid w:val="00762CB9"/>
    <w:rsid w:val="007738F7"/>
    <w:rsid w:val="0078195E"/>
    <w:rsid w:val="007B09D7"/>
    <w:rsid w:val="007B74AD"/>
    <w:rsid w:val="007D77D1"/>
    <w:rsid w:val="007E184A"/>
    <w:rsid w:val="007E2AC8"/>
    <w:rsid w:val="007E5888"/>
    <w:rsid w:val="00831EE7"/>
    <w:rsid w:val="00834146"/>
    <w:rsid w:val="00847993"/>
    <w:rsid w:val="008C0FE7"/>
    <w:rsid w:val="009012EE"/>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9012EE"/>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9012E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012EE"/>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9012E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012E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012E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012EE"/>
    <w:rPr>
      <w:b/>
      <w:bCs/>
    </w:rPr>
  </w:style>
  <w:style w:type="paragraph" w:styleId="NormalWeb">
    <w:name w:val="Normal (Web)"/>
    <w:basedOn w:val="Normal"/>
    <w:uiPriority w:val="99"/>
    <w:semiHidden/>
    <w:unhideWhenUsed/>
    <w:rsid w:val="009012EE"/>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01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304">
      <w:bodyDiv w:val="1"/>
      <w:marLeft w:val="0"/>
      <w:marRight w:val="0"/>
      <w:marTop w:val="0"/>
      <w:marBottom w:val="0"/>
      <w:divBdr>
        <w:top w:val="none" w:sz="0" w:space="0" w:color="auto"/>
        <w:left w:val="none" w:sz="0" w:space="0" w:color="auto"/>
        <w:bottom w:val="none" w:sz="0" w:space="0" w:color="auto"/>
        <w:right w:val="none" w:sz="0" w:space="0" w:color="auto"/>
      </w:divBdr>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2</cp:revision>
  <dcterms:created xsi:type="dcterms:W3CDTF">2025-11-11T14:20:00Z</dcterms:created>
  <dcterms:modified xsi:type="dcterms:W3CDTF">2025-11-11T14:20:00Z</dcterms:modified>
</cp:coreProperties>
</file>