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9739" w14:textId="77777777" w:rsidR="00E456E0" w:rsidRPr="00367125" w:rsidRDefault="00E456E0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F655A78" w14:textId="77777777" w:rsidR="00E456E0" w:rsidRPr="00367125" w:rsidRDefault="00E456E0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46FA95C2" w14:textId="7604DDDB" w:rsidR="00E456E0" w:rsidRPr="00367125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b/>
          <w:bCs/>
          <w:color w:val="000000" w:themeColor="text1"/>
          <w:sz w:val="24"/>
          <w:szCs w:val="24"/>
        </w:rPr>
        <w:t>Protocolo Institucional para la Atención de Controversias y Actos de Violencia</w:t>
      </w:r>
    </w:p>
    <w:p w14:paraId="1273FEF0" w14:textId="361F899A" w:rsidR="00E456E0" w:rsidRPr="00367125" w:rsidRDefault="00690071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“ATENCIÓN INTEGRAL A SITUACIONES DE TODO TIPO DE VIOLEN</w:t>
      </w:r>
      <w:r w:rsidR="004F64A5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C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IA Y CONFLICTOS INTERPERSONALES”</w:t>
      </w:r>
    </w:p>
    <w:p w14:paraId="02AB2BA1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E72C239" w14:textId="5DFE5FB9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1. Presentación</w:t>
      </w:r>
    </w:p>
    <w:p w14:paraId="0391D183" w14:textId="10708ABB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Este documento establece los lineamientos y procedimientos institucionales para la prevención, atención y erradicación de controversias y actos de violencia en todas sus formas, con el objetivo de fomentar un entorno académico y laboral libre de hostigamiento, discriminación y cualquier tipo de violencia. El CIATEJ, 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 xml:space="preserve">A.C.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comprometido con la equidad y el respeto a los derechos humanos, cuenta con la certificación 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 xml:space="preserve">nivel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plata bajo la 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>NMX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-R-025-SCFI-2015, elevada a oro en la última revisión por la instancia certificadora.</w:t>
      </w:r>
    </w:p>
    <w:p w14:paraId="0C1F490A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En primera instancia se realiza una estrategia de promoción dirigida a las y los estudiantes en la cual se les brinda una charla informativa sobre el pronunciamiento Cero Tolerancia al Hostigamiento Sexual y Acoso Sexual, así como los diferentes tipos de violencia reconocidos en el código de conducta. Se les proporciona contactos institucionales para la atención y recepción de quejas. </w:t>
      </w:r>
    </w:p>
    <w:p w14:paraId="2741ABD2" w14:textId="479E999A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Cuando una persona 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>toma la decisión de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presentar una queja, el Departamento de CCOPG y Posgrado realiza atención inicial y valora las posibles vías de soluciones. En los casos e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>n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los que la situación puede resolverse tras negociación, mediación y/o acciones internas se llevan a cabo dentro de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 xml:space="preserve"> los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propios departamentos.</w:t>
      </w:r>
    </w:p>
    <w:p w14:paraId="1D69710E" w14:textId="351EBAAD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En aquellos casos en los que la gravedad requiere una intervención mayor, se procede a la canalización formal al Comité de ética y/u Órgano Interno de Control del CIATEJ, A.C. </w:t>
      </w:r>
    </w:p>
    <w:p w14:paraId="76EC44E7" w14:textId="616DBB7D" w:rsidR="00770433" w:rsidRPr="00367125" w:rsidRDefault="00770433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El alcance de este Protocolo es integral y aplica a la totalidad de la Comunidad CIATEJ, A.C. </w:t>
      </w:r>
    </w:p>
    <w:p w14:paraId="48AECC66" w14:textId="77777777" w:rsidR="00770433" w:rsidRPr="00367125" w:rsidRDefault="00770433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47C52E4" w14:textId="77777777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2. Objetivo General</w:t>
      </w:r>
    </w:p>
    <w:p w14:paraId="1084E90C" w14:textId="09C7C829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Establecer protocolos claros y eficientes 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con perspectiva de género y derechos humanos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para la prevención, detección, atención, seguimiento y resolución de controversias y actos de violencia dentro del CIATEJ,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 xml:space="preserve"> A.C.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promoviendo una cultura institucional de respeto, igualdad y </w:t>
      </w:r>
      <w:proofErr w:type="gramStart"/>
      <w:r w:rsidRPr="00367125">
        <w:rPr>
          <w:rFonts w:ascii="Arial Narrow" w:hAnsi="Arial Narrow"/>
          <w:color w:val="000000" w:themeColor="text1"/>
          <w:sz w:val="24"/>
          <w:szCs w:val="24"/>
        </w:rPr>
        <w:t>cero tolerancia</w:t>
      </w:r>
      <w:proofErr w:type="gramEnd"/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 al hostigamiento sexual, acoso sexual, todo tipo de violencia y discriminación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B9AD8CE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3C4E524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ED393E9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97BAB98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6E83DFB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F91D531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8F9A495" w14:textId="4E3A4D7E" w:rsidR="00770433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3. Objetivos Específicos</w:t>
      </w:r>
    </w:p>
    <w:p w14:paraId="0415A9A7" w14:textId="3E2628D7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Prevenir conductas de hostigamiento, acoso, discriminación y violencia.</w:t>
      </w:r>
    </w:p>
    <w:p w14:paraId="4E1A2450" w14:textId="79AC6593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Brindar mecanismos de atención segura, confidencial y oportuna a las personas afectadas.</w:t>
      </w:r>
    </w:p>
    <w:p w14:paraId="5BEFF730" w14:textId="556C11B1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Promover la cultura de igualdad de género, derechos humanos y convivencia pacífica.</w:t>
      </w:r>
    </w:p>
    <w:p w14:paraId="1FEADC62" w14:textId="06743ED8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Garantizar el cumplimiento de la NM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 y demás normativas aplicables.</w:t>
      </w:r>
    </w:p>
    <w:p w14:paraId="52ADB845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C7AC8C6" w14:textId="0044D474" w:rsidR="00684ECB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4. Marco Normativo</w:t>
      </w:r>
    </w:p>
    <w:p w14:paraId="6B971C29" w14:textId="1574EEBD" w:rsidR="00684ECB" w:rsidRPr="00367125" w:rsidRDefault="00684ECB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El presente protocolo se sustenta en la normativa vigente y se complementa con los siguientes instrumentos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1EA9AB5E" w14:textId="108AB6A6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Constitución Política de los Estados Unidos Mexicanos.</w:t>
      </w:r>
    </w:p>
    <w:p w14:paraId="6E1FFECD" w14:textId="0AAF542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Ley General de Acceso de las Mujeres a una Vida Libre de Violencia.</w:t>
      </w:r>
    </w:p>
    <w:p w14:paraId="5C7EED84" w14:textId="0A41E10D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Ley Federal del Trabajo.</w:t>
      </w:r>
    </w:p>
    <w:p w14:paraId="0C6AC24A" w14:textId="04E06551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N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MX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 en Igualdad Laboral y No Discriminación.</w:t>
      </w:r>
    </w:p>
    <w:p w14:paraId="76AC427B" w14:textId="015540B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Código de Ética del CIATEJ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, A.C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EA01328" w14:textId="4B72C598" w:rsidR="00684ECB" w:rsidRPr="00367125" w:rsidRDefault="00684ECB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Código de Conducta de los servidores y servidoras públicas </w:t>
      </w:r>
    </w:p>
    <w:p w14:paraId="0D132938" w14:textId="2F5FAF56" w:rsidR="00684ECB" w:rsidRPr="00370A46" w:rsidRDefault="00370A46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Lineamiento de estudios de</w:t>
      </w:r>
      <w:r w:rsidR="00684ECB" w:rsidRPr="00370A46">
        <w:rPr>
          <w:rFonts w:ascii="Arial Narrow" w:hAnsi="Arial Narrow"/>
          <w:color w:val="000000" w:themeColor="text1"/>
          <w:sz w:val="24"/>
          <w:szCs w:val="24"/>
        </w:rPr>
        <w:t xml:space="preserve"> posgrado </w:t>
      </w:r>
    </w:p>
    <w:p w14:paraId="098BC781" w14:textId="113852CF" w:rsidR="00684ECB" w:rsidRPr="00367125" w:rsidRDefault="00684ECB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A Pronunciamiento Cero Tolerancia al Hostigamiento Sexual y Acoso Sexual </w:t>
      </w:r>
    </w:p>
    <w:p w14:paraId="15752B61" w14:textId="20F32813" w:rsidR="00370A46" w:rsidRPr="00370A46" w:rsidRDefault="00684ECB" w:rsidP="00370A46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B Procedimiento para Presentación de Denuncias ante el CEPCI del CIATEJ, </w:t>
      </w:r>
    </w:p>
    <w:p w14:paraId="6BBD7E47" w14:textId="77777777" w:rsidR="00684ECB" w:rsidRPr="00367125" w:rsidRDefault="00684ECB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E4015D8" w14:textId="6B536CF2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5. Definiciones</w:t>
      </w:r>
    </w:p>
    <w:p w14:paraId="3951CDEB" w14:textId="7B7EB24B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Violencia: Cualquier acción u omisión que cause daño físico, psicológico, sexual, económico o patrimonial.</w:t>
      </w:r>
    </w:p>
    <w:p w14:paraId="12557C34" w14:textId="665345BC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Hostigamiento: Ejercicio de poder en una relación de subordinación, con conductas verbales o físicas de naturaleza sexual.</w:t>
      </w:r>
    </w:p>
    <w:p w14:paraId="748A8378" w14:textId="509C9F0F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Acoso: Conducta no deseada de naturaleza sexual sin relación de subordinación.</w:t>
      </w:r>
    </w:p>
    <w:p w14:paraId="03F06B0B" w14:textId="77777777" w:rsid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Discriminación: Distinción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mas de los siguientes motivos: el origen étnico o nacional, el color de </w:t>
      </w:r>
    </w:p>
    <w:p w14:paraId="7B42F7A7" w14:textId="1D78DF8D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124E5D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DB1BB1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FDBCAB9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03547B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186778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A167D34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BC0874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A10D063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4FCA535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A318203" w14:textId="22175AA1" w:rsidR="00367125" w:rsidRDefault="00770433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la piel, la cultura. El sexo, el género, la edad, las discapacidades, la condición social, </w:t>
      </w:r>
    </w:p>
    <w:p w14:paraId="53147B9E" w14:textId="48556626" w:rsidR="00591D86" w:rsidRPr="00367125" w:rsidRDefault="00770433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económica, de salud o jurídica, la religión, la apariencia física, las características</w:t>
      </w:r>
      <w:r w:rsidR="00591D86" w:rsidRP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35CF3883" w14:textId="0E995222" w:rsidR="00684ECB" w:rsidRPr="00367125" w:rsidRDefault="00770433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genéticas, la situación migratoria, el embarazo, la lengua, las opiniones,</w:t>
      </w:r>
      <w:r w:rsid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las preferencias sexuales, la identidad o filiación política, el estado civil, la situación familiar, las responsabilidades familiares, el idioma, los antecedentes penales o cualquier otro motivo. También se entenderá como discriminación la homofobia, misoginia, cualquier manifestación de xenofobia, segregación racial, antisemitismo, así como la discriminación racial y otras formas conexas de intolerancia. </w:t>
      </w:r>
    </w:p>
    <w:p w14:paraId="40D1B664" w14:textId="77777777" w:rsidR="00591D86" w:rsidRPr="00367125" w:rsidRDefault="00591D86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F9688E4" w14:textId="577EC080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6. Principios Rectores</w:t>
      </w:r>
    </w:p>
    <w:p w14:paraId="1D0E4C87" w14:textId="2B357F73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Confidencialidad</w:t>
      </w:r>
    </w:p>
    <w:p w14:paraId="489A90C6" w14:textId="2E08D68A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Perspectiva de género</w:t>
      </w:r>
    </w:p>
    <w:p w14:paraId="6CB0E730" w14:textId="1A3C9887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Respeto a los derechos humanos</w:t>
      </w:r>
    </w:p>
    <w:p w14:paraId="59A20A22" w14:textId="665FDB69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Protección a víctimas y denunciantes</w:t>
      </w:r>
    </w:p>
    <w:p w14:paraId="386B9132" w14:textId="55E20F8D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Legalidad e imparcialidad</w:t>
      </w:r>
    </w:p>
    <w:p w14:paraId="11ADF2A6" w14:textId="43B6B411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proofErr w:type="gramStart"/>
      <w:r w:rsidRPr="00367125">
        <w:rPr>
          <w:rFonts w:ascii="Arial Narrow" w:hAnsi="Arial Narrow"/>
          <w:color w:val="000000" w:themeColor="text1"/>
          <w:sz w:val="24"/>
          <w:szCs w:val="24"/>
        </w:rPr>
        <w:t>Cero tolerancia</w:t>
      </w:r>
      <w:proofErr w:type="gramEnd"/>
    </w:p>
    <w:p w14:paraId="00B21DAF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C2FD314" w14:textId="6BBA04CE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7. Alcance</w:t>
      </w:r>
    </w:p>
    <w:p w14:paraId="6883E072" w14:textId="124FF579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Aplica a todo el personal académico, administrativo, estudiantes, prestadores de servicio social, proveedores y visitantes del CIATEJ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>, A.C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83113FB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7A0841A" w14:textId="5A57476C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 Estructura Operativa</w:t>
      </w:r>
    </w:p>
    <w:p w14:paraId="741BAE1C" w14:textId="77777777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8.1 Comité de Atención a la Violencia y Controversias (CAVC)</w:t>
      </w:r>
    </w:p>
    <w:p w14:paraId="64F34ADA" w14:textId="4610AAC4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Integración</w:t>
      </w:r>
    </w:p>
    <w:p w14:paraId="25D4F6C6" w14:textId="6D4FE53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Funciones</w:t>
      </w:r>
    </w:p>
    <w:p w14:paraId="2D1923BB" w14:textId="77777777" w:rsidR="00684ECB" w:rsidRPr="00367125" w:rsidRDefault="00684ECB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4444733" w14:textId="73F8AB6A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8.2 Unidad de Género y Derechos Humanos</w:t>
      </w:r>
    </w:p>
    <w:p w14:paraId="5A6C3F79" w14:textId="023F38BC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Funciones</w:t>
      </w:r>
    </w:p>
    <w:p w14:paraId="063AD27F" w14:textId="65CA2C8A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Coordinación con instancias internas y externas</w:t>
      </w:r>
    </w:p>
    <w:p w14:paraId="181BA924" w14:textId="77777777" w:rsidR="00684ECB" w:rsidRPr="00367125" w:rsidRDefault="00684ECB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DD7F41C" w14:textId="2AF0AD82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9. Protocolo de Prevención</w:t>
      </w:r>
    </w:p>
    <w:p w14:paraId="6E3D0ED1" w14:textId="07DA85A8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5463D0B" w14:textId="7777777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1DCC8E4" w14:textId="2E13A540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2B75A99" w14:textId="0F1B6AF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9E32EDE" w14:textId="0B89C9C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00E8393" w14:textId="77777777" w:rsidR="00367125" w:rsidRP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BCBFAB" w14:textId="04660A03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Programas de sensibilización y capacitación.</w:t>
      </w:r>
    </w:p>
    <w:p w14:paraId="4411F9BC" w14:textId="4CC94480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Difusión de políticas institucionales.</w:t>
      </w:r>
    </w:p>
    <w:p w14:paraId="14C26AB8" w14:textId="4F79E982" w:rsidR="00C328C9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Promoción de mecanismos de denuncia.</w:t>
      </w:r>
    </w:p>
    <w:p w14:paraId="1931B8FF" w14:textId="54746BB9" w:rsidR="00591D86" w:rsidRPr="00367125" w:rsidRDefault="00080124" w:rsidP="00367125">
      <w:pPr>
        <w:pStyle w:val="Prrafodelista"/>
        <w:numPr>
          <w:ilvl w:val="0"/>
          <w:numId w:val="36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Evaluación y seguimiento de clima 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>organizacional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28A44FEF" w14:textId="77777777" w:rsidR="00C328C9" w:rsidRPr="00367125" w:rsidRDefault="00C328C9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D827DF4" w14:textId="747B874F" w:rsidR="00591D86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 Atención </w:t>
      </w:r>
      <w:r w:rsidR="00F33197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a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Denuncias</w:t>
      </w:r>
    </w:p>
    <w:p w14:paraId="7DD3C6BA" w14:textId="0A4A3F3B" w:rsidR="00080124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10.1 </w:t>
      </w:r>
      <w:r w:rsidR="00080124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Recepción de la denuncia</w:t>
      </w:r>
    </w:p>
    <w:p w14:paraId="2FEF073A" w14:textId="370EF69C" w:rsidR="00352859" w:rsidRPr="002A1326" w:rsidRDefault="00352859" w:rsidP="00367125">
      <w:pPr>
        <w:spacing w:before="100" w:beforeAutospacing="1" w:after="12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El proceso inicia con la presentación de la denuncia, la cual puede ser formulada por cualquier persona que forme parte de la comunidad CIATEJ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, A.C.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o externa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por los 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 xml:space="preserve">anales 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o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ficiales (Conforme al Anexo B):</w:t>
      </w:r>
    </w:p>
    <w:p w14:paraId="7FF51259" w14:textId="17342584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Vía Electrónica: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Al correo electrónico oficial </w:t>
      </w:r>
    </w:p>
    <w:p w14:paraId="77CDD375" w14:textId="0701EF1E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Vía Presencial/Escrita: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Presentada ante la Secretaría Ejecutiva del CEPCI</w:t>
      </w:r>
    </w:p>
    <w:p w14:paraId="2E36201F" w14:textId="468FF1AC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Requisitos Mínimos: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La denuncia debe presentarse por escrito y contener, al menos, la narrativa clara de los hechos, especificando las circunstancias de tiempo, modo y lugar en las que se desarrollan</w:t>
      </w:r>
    </w:p>
    <w:p w14:paraId="387913BB" w14:textId="0F3F0A82" w:rsidR="00080124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Dicha denuncia puede ser presentada en el departamento de CCOPG, Posgrado,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 xml:space="preserve">Personas </w:t>
      </w:r>
      <w:proofErr w:type="gramStart"/>
      <w:r w:rsidR="00CF73A1">
        <w:rPr>
          <w:rFonts w:ascii="Arial Narrow" w:hAnsi="Arial Narrow"/>
          <w:color w:val="000000" w:themeColor="text1"/>
          <w:sz w:val="24"/>
          <w:szCs w:val="24"/>
        </w:rPr>
        <w:t>Consejeras</w:t>
      </w:r>
      <w:proofErr w:type="gramEnd"/>
      <w:r w:rsidR="00CF73A1">
        <w:rPr>
          <w:rFonts w:ascii="Arial Narrow" w:hAnsi="Arial Narrow"/>
          <w:color w:val="000000" w:themeColor="text1"/>
          <w:sz w:val="24"/>
          <w:szCs w:val="24"/>
        </w:rPr>
        <w:t xml:space="preserve"> del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Comité de Ética u OIC.</w:t>
      </w:r>
    </w:p>
    <w:p w14:paraId="0C39F695" w14:textId="2F66047E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En caso de presentarla inicialmente en el departamento CCOPG y Posgrado se realizará inmediatamente un análisis de caso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,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determinando 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así si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la solución puede ser con base a negociación, mediación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y/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o con las medidas de protección inmediata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.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E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n caso de tener una gravidez mayor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,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 xml:space="preserve"> se canalizará a las instancias mencionadas.</w:t>
      </w:r>
    </w:p>
    <w:p w14:paraId="411E40F1" w14:textId="77777777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C85A5DE" w14:textId="02ACC11C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10.2 Medidas de Protección Inmediata</w:t>
      </w:r>
    </w:p>
    <w:p w14:paraId="0E391C87" w14:textId="24CD09CD" w:rsidR="00080124" w:rsidRPr="00367125" w:rsidRDefault="00080124" w:rsidP="00367125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Salvaguarda</w:t>
      </w:r>
      <w:r w:rsidR="00591D86" w:rsidRPr="00367125">
        <w:rPr>
          <w:rFonts w:ascii="Arial Narrow" w:hAnsi="Arial Narrow"/>
          <w:color w:val="000000" w:themeColor="text1"/>
          <w:sz w:val="24"/>
          <w:szCs w:val="24"/>
        </w:rPr>
        <w:t>r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la integridad de la persona afectada</w:t>
      </w:r>
    </w:p>
    <w:p w14:paraId="725C9548" w14:textId="664DC729" w:rsidR="00080124" w:rsidRPr="00367125" w:rsidRDefault="00080124" w:rsidP="00367125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Separación preventiva de las partes</w:t>
      </w:r>
    </w:p>
    <w:p w14:paraId="50DE6BC0" w14:textId="77777777" w:rsidR="00F33197" w:rsidRPr="00367125" w:rsidRDefault="00F33197" w:rsidP="00367125">
      <w:pPr>
        <w:pStyle w:val="Prrafodelista"/>
        <w:ind w:left="108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ADF3E1B" w14:textId="7B342B01" w:rsidR="00591D86" w:rsidRPr="00370A46" w:rsidRDefault="00591D86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10.3</w:t>
      </w:r>
      <w:r w:rsidR="0035285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Medidas de protección e investigación </w:t>
      </w:r>
    </w:p>
    <w:p w14:paraId="7D7C2A06" w14:textId="77777777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Medidas Cautelares: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En la sesión de análisis, el CEPCI determinará la conveniencia de emitir 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medidas de protección inmediatas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para salvaguardar la integridad de la persona afectada. Estas medidas podrán incluir la separación preventiva o reubicación temporal, y serán propuestas a la unidad administrativa competente para su ejecución.</w:t>
      </w:r>
    </w:p>
    <w:p w14:paraId="024B82CA" w14:textId="77777777" w:rsid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Investigación de la Comisión: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CEPCI turnará el caso a una Comisión (Subcomité) </w:t>
      </w:r>
    </w:p>
    <w:p w14:paraId="65A90A69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4C53D097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3A4E5749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7E6A6F44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0B70DF53" w14:textId="04341E51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5E7BAE84" w14:textId="67553D2E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4C18F171" w14:textId="73F34CD2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57D70D26" w14:textId="70204431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20E50064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1DFBFE3D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1F651640" w14:textId="4B3381E6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conformada por sus miembros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electos/as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, la cual se encargará de realizar las diligencias de investigación, recopilación de pruebas, entrevistas a las partes y testigos (garantizando el derecho de audiencia y la imparcialidad).</w:t>
      </w:r>
    </w:p>
    <w:p w14:paraId="7D3C5018" w14:textId="5327BD0B" w:rsidR="00F33197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Mecanismos Alternativos: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Durante esta etapa, la 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c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omisión también podrá sugerir y llevar </w:t>
      </w:r>
    </w:p>
    <w:p w14:paraId="041368A6" w14:textId="77B1DB70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a cabo, si son pertinentes al caso y las partes están de acuerdo, procesos de mediación o conciliación.</w:t>
      </w:r>
    </w:p>
    <w:p w14:paraId="372C329A" w14:textId="5B1C2060" w:rsidR="00591D86" w:rsidRPr="00367125" w:rsidRDefault="00591D86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C264A54" w14:textId="2539C7BB" w:rsidR="00C328C9" w:rsidRPr="00370A46" w:rsidRDefault="00352859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10.4 Resolución</w:t>
      </w:r>
      <w:r w:rsidR="00C328C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, sanciones y cierre</w:t>
      </w:r>
    </w:p>
    <w:p w14:paraId="7369482F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Dictamen del CEPCI: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Comité deberá concluir la atención y emitir su dictamen sobre el caso en un plazo máximo de cuatro meses a partir de su registro, conforme al procedimiento establecido.</w:t>
      </w:r>
    </w:p>
    <w:p w14:paraId="29032737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Canalización al OIC: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Si el Comité determina la existencia de un probable incumplimiento al Código de Ética, a las Reglas de Integridad o al Código de Conducta, o por la gravedad del caso, el asunto será 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canalizado formalmente al Órgano Interno de Control (OIC)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del CIATEJ.</w:t>
      </w:r>
    </w:p>
    <w:p w14:paraId="7904316F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Fincamiento de Responsabilidades: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OIC es la instancia competente para llevar a cabo el procedimiento de responsabilidad administrativa e imponer las sanciones correspondientes (amonestación, suspensión, destitución, etc.).</w:t>
      </w:r>
    </w:p>
    <w:p w14:paraId="30E961F7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Notificación Final: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Se notificará a las partes involucradas el dictamen del Comité y, en su caso, la resolución definitiva del OIC, dando por concluido el proceso formal de atención.</w:t>
      </w:r>
    </w:p>
    <w:p w14:paraId="3AD7D55A" w14:textId="77777777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2E6131A" w14:textId="3C44EA28" w:rsidR="00C328C9" w:rsidRPr="00370A46" w:rsidRDefault="00F33197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10.5 Seguimiento </w:t>
      </w:r>
    </w:p>
    <w:p w14:paraId="7CC0634E" w14:textId="53A33926" w:rsidR="00352859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Seguimiento de caso. </w:t>
      </w:r>
    </w:p>
    <w:p w14:paraId="37D446CA" w14:textId="77777777" w:rsidR="00367125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26E29E35" w14:textId="77777777" w:rsidR="007E35FC" w:rsidRPr="00D008D2" w:rsidRDefault="00080124" w:rsidP="007E3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F33197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. Anexos</w:t>
      </w:r>
      <w:r w:rsidR="00C328C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del Protocolo </w:t>
      </w:r>
      <w:hyperlink r:id="rId7" w:history="1">
        <w:r w:rsidR="007E35FC"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DOCTORADO EN CIENCIAS EN INNOVACCIÓN BIOTECNOLÓGICA</w:t>
        </w:r>
      </w:hyperlink>
    </w:p>
    <w:p w14:paraId="61D0B483" w14:textId="5EDC119F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079577D" w14:textId="7AECC145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A Pronunciamiento Cero Tolerancia al Hostigamiento Sexual y Acoso Sexual </w:t>
      </w:r>
      <w:hyperlink r:id="rId8" w:history="1">
        <w:r w:rsidR="007E35FC">
          <w:rPr>
            <w:rStyle w:val="Hipervnculo"/>
          </w:rPr>
          <w:t>Integridad Pública</w:t>
        </w:r>
      </w:hyperlink>
    </w:p>
    <w:p w14:paraId="2A1E477B" w14:textId="58D7584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B Procedimiento para Presentación de Denuncias ante el CEPCI del CIATEJ, 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A.C.</w:t>
      </w:r>
      <w:r w:rsidR="007E35FC" w:rsidRPr="007E35FC">
        <w:t xml:space="preserve"> </w:t>
      </w:r>
      <w:hyperlink r:id="rId9" w:history="1">
        <w:r w:rsidR="007E35FC">
          <w:rPr>
            <w:rStyle w:val="Hipervnculo"/>
          </w:rPr>
          <w:t>Integridad Pública</w:t>
        </w:r>
      </w:hyperlink>
    </w:p>
    <w:p w14:paraId="13B8090E" w14:textId="68A31666" w:rsidR="00C328C9" w:rsidRPr="00370A46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color w:val="000000" w:themeColor="text1"/>
          <w:sz w:val="24"/>
          <w:szCs w:val="24"/>
        </w:rPr>
        <w:t xml:space="preserve">Anexo C </w:t>
      </w:r>
      <w:r w:rsidR="00370A46">
        <w:rPr>
          <w:rFonts w:ascii="Arial Narrow" w:hAnsi="Arial Narrow"/>
          <w:color w:val="000000" w:themeColor="text1"/>
          <w:sz w:val="24"/>
          <w:szCs w:val="24"/>
        </w:rPr>
        <w:t>Lineamiento de estudios de</w:t>
      </w:r>
      <w:r w:rsidRPr="00370A46">
        <w:rPr>
          <w:rFonts w:ascii="Arial Narrow" w:hAnsi="Arial Narrow"/>
          <w:color w:val="000000" w:themeColor="text1"/>
          <w:sz w:val="24"/>
          <w:szCs w:val="24"/>
        </w:rPr>
        <w:t xml:space="preserve"> posgrado </w:t>
      </w:r>
      <w:hyperlink r:id="rId10" w:history="1">
        <w:r w:rsidR="007E35FC">
          <w:rPr>
            <w:rStyle w:val="Hipervnculo"/>
          </w:rPr>
          <w:t>Nuestra Normatividad</w:t>
        </w:r>
      </w:hyperlink>
    </w:p>
    <w:p w14:paraId="7A2BE93A" w14:textId="6466098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D Formato atención quejas del departamento CCOPG </w:t>
      </w:r>
    </w:p>
    <w:p w14:paraId="2BB0B76A" w14:textId="691CC14F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Anexo E Certificación del CIATEJ en la NMX-R-025-SCFI-2015 en nivel plata</w:t>
      </w:r>
    </w:p>
    <w:p w14:paraId="0F30D9C1" w14:textId="208AE84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F Informe de certificación del CIATEJ en la NMX-R-025-SCFI-2015 subiendo a nivel Oro. </w:t>
      </w:r>
    </w:p>
    <w:p w14:paraId="30BC7036" w14:textId="77777777" w:rsidR="00E87451" w:rsidRPr="00367125" w:rsidRDefault="00E87451" w:rsidP="00367125">
      <w:pPr>
        <w:jc w:val="both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7CF09C08" w14:textId="4B63FF50" w:rsidR="00E87451" w:rsidRPr="00367125" w:rsidRDefault="00E87451" w:rsidP="00367125">
      <w:pPr>
        <w:jc w:val="both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67D7E501" w14:textId="69AE4314" w:rsidR="00C328C9" w:rsidRPr="00367125" w:rsidRDefault="00C328C9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5220315" w14:textId="7F45806D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080124" w:rsidRPr="0036712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5D87" w14:textId="77777777" w:rsidR="006E5AFC" w:rsidRDefault="006E5AFC" w:rsidP="00E456E0">
      <w:pPr>
        <w:spacing w:after="0" w:line="240" w:lineRule="auto"/>
      </w:pPr>
      <w:r>
        <w:separator/>
      </w:r>
    </w:p>
  </w:endnote>
  <w:endnote w:type="continuationSeparator" w:id="0">
    <w:p w14:paraId="601F424A" w14:textId="77777777" w:rsidR="006E5AFC" w:rsidRDefault="006E5AFC" w:rsidP="00E4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0903" w14:textId="77777777" w:rsidR="006E5AFC" w:rsidRDefault="006E5AFC" w:rsidP="00E456E0">
      <w:pPr>
        <w:spacing w:after="0" w:line="240" w:lineRule="auto"/>
      </w:pPr>
      <w:r>
        <w:separator/>
      </w:r>
    </w:p>
  </w:footnote>
  <w:footnote w:type="continuationSeparator" w:id="0">
    <w:p w14:paraId="6B84D843" w14:textId="77777777" w:rsidR="006E5AFC" w:rsidRDefault="006E5AFC" w:rsidP="00E4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7F82" w14:textId="3C6E649E" w:rsidR="00E456E0" w:rsidRDefault="00E456E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16CD26" wp14:editId="77E0D0ED">
          <wp:simplePos x="0" y="0"/>
          <wp:positionH relativeFrom="column">
            <wp:posOffset>-1057275</wp:posOffset>
          </wp:positionH>
          <wp:positionV relativeFrom="paragraph">
            <wp:posOffset>-448310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9B3"/>
    <w:multiLevelType w:val="multilevel"/>
    <w:tmpl w:val="486E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46AC4"/>
    <w:multiLevelType w:val="hybridMultilevel"/>
    <w:tmpl w:val="39F277B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1C06"/>
    <w:multiLevelType w:val="multilevel"/>
    <w:tmpl w:val="CEAA0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D7E44"/>
    <w:multiLevelType w:val="multilevel"/>
    <w:tmpl w:val="B11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92EFC"/>
    <w:multiLevelType w:val="hybridMultilevel"/>
    <w:tmpl w:val="41D2A648"/>
    <w:lvl w:ilvl="0" w:tplc="3EDE5FAA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505D"/>
    <w:multiLevelType w:val="multilevel"/>
    <w:tmpl w:val="90D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B42D2"/>
    <w:multiLevelType w:val="multilevel"/>
    <w:tmpl w:val="6A0A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1059C"/>
    <w:multiLevelType w:val="multilevel"/>
    <w:tmpl w:val="D382AB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0426E"/>
    <w:multiLevelType w:val="hybridMultilevel"/>
    <w:tmpl w:val="5D1C7A8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B67A8"/>
    <w:multiLevelType w:val="multilevel"/>
    <w:tmpl w:val="ED8E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A4D50"/>
    <w:multiLevelType w:val="hybridMultilevel"/>
    <w:tmpl w:val="7F24F9FE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670CB"/>
    <w:multiLevelType w:val="hybridMultilevel"/>
    <w:tmpl w:val="4396557C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9A3"/>
    <w:multiLevelType w:val="hybridMultilevel"/>
    <w:tmpl w:val="D73A535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474B7"/>
    <w:multiLevelType w:val="multilevel"/>
    <w:tmpl w:val="C7F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D64FD"/>
    <w:multiLevelType w:val="multilevel"/>
    <w:tmpl w:val="381E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C3F69"/>
    <w:multiLevelType w:val="multilevel"/>
    <w:tmpl w:val="9F02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27FE1"/>
    <w:multiLevelType w:val="multilevel"/>
    <w:tmpl w:val="6E4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4153A"/>
    <w:multiLevelType w:val="hybridMultilevel"/>
    <w:tmpl w:val="115E9DE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B4D74"/>
    <w:multiLevelType w:val="hybridMultilevel"/>
    <w:tmpl w:val="2A86DEDC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1DF8"/>
    <w:multiLevelType w:val="hybridMultilevel"/>
    <w:tmpl w:val="EA2A010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138B4"/>
    <w:multiLevelType w:val="multilevel"/>
    <w:tmpl w:val="3AB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952E8"/>
    <w:multiLevelType w:val="multilevel"/>
    <w:tmpl w:val="B6D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210B7"/>
    <w:multiLevelType w:val="multilevel"/>
    <w:tmpl w:val="CEAA0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FE7F33"/>
    <w:multiLevelType w:val="multilevel"/>
    <w:tmpl w:val="430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D2B1E"/>
    <w:multiLevelType w:val="multilevel"/>
    <w:tmpl w:val="A08E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BE2F45"/>
    <w:multiLevelType w:val="hybridMultilevel"/>
    <w:tmpl w:val="443AB45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357C4"/>
    <w:multiLevelType w:val="multilevel"/>
    <w:tmpl w:val="8F760E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3A5B64"/>
    <w:multiLevelType w:val="multilevel"/>
    <w:tmpl w:val="A02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B1E86"/>
    <w:multiLevelType w:val="hybridMultilevel"/>
    <w:tmpl w:val="7994ADC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A4026"/>
    <w:multiLevelType w:val="multilevel"/>
    <w:tmpl w:val="5E2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11D70"/>
    <w:multiLevelType w:val="multilevel"/>
    <w:tmpl w:val="05D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2271C"/>
    <w:multiLevelType w:val="multilevel"/>
    <w:tmpl w:val="3D4C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331012"/>
    <w:multiLevelType w:val="hybridMultilevel"/>
    <w:tmpl w:val="47CE185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01AA2"/>
    <w:multiLevelType w:val="multilevel"/>
    <w:tmpl w:val="CD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63876"/>
    <w:multiLevelType w:val="hybridMultilevel"/>
    <w:tmpl w:val="65C48D9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907F4"/>
    <w:multiLevelType w:val="hybridMultilevel"/>
    <w:tmpl w:val="95345934"/>
    <w:lvl w:ilvl="0" w:tplc="3EDE5FAA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B336A"/>
    <w:multiLevelType w:val="hybridMultilevel"/>
    <w:tmpl w:val="4A0AB4C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4"/>
  </w:num>
  <w:num w:numId="4">
    <w:abstractNumId w:val="21"/>
  </w:num>
  <w:num w:numId="5">
    <w:abstractNumId w:val="23"/>
  </w:num>
  <w:num w:numId="6">
    <w:abstractNumId w:val="3"/>
  </w:num>
  <w:num w:numId="7">
    <w:abstractNumId w:val="6"/>
  </w:num>
  <w:num w:numId="8">
    <w:abstractNumId w:val="5"/>
  </w:num>
  <w:num w:numId="9">
    <w:abstractNumId w:val="31"/>
  </w:num>
  <w:num w:numId="10">
    <w:abstractNumId w:val="0"/>
  </w:num>
  <w:num w:numId="11">
    <w:abstractNumId w:val="33"/>
  </w:num>
  <w:num w:numId="12">
    <w:abstractNumId w:val="29"/>
  </w:num>
  <w:num w:numId="13">
    <w:abstractNumId w:val="30"/>
  </w:num>
  <w:num w:numId="14">
    <w:abstractNumId w:val="16"/>
  </w:num>
  <w:num w:numId="15">
    <w:abstractNumId w:val="14"/>
  </w:num>
  <w:num w:numId="16">
    <w:abstractNumId w:val="27"/>
  </w:num>
  <w:num w:numId="17">
    <w:abstractNumId w:val="25"/>
  </w:num>
  <w:num w:numId="18">
    <w:abstractNumId w:val="10"/>
  </w:num>
  <w:num w:numId="19">
    <w:abstractNumId w:val="1"/>
  </w:num>
  <w:num w:numId="20">
    <w:abstractNumId w:val="8"/>
  </w:num>
  <w:num w:numId="21">
    <w:abstractNumId w:val="34"/>
  </w:num>
  <w:num w:numId="22">
    <w:abstractNumId w:val="18"/>
  </w:num>
  <w:num w:numId="23">
    <w:abstractNumId w:val="28"/>
  </w:num>
  <w:num w:numId="24">
    <w:abstractNumId w:val="19"/>
  </w:num>
  <w:num w:numId="25">
    <w:abstractNumId w:val="32"/>
  </w:num>
  <w:num w:numId="26">
    <w:abstractNumId w:val="13"/>
  </w:num>
  <w:num w:numId="27">
    <w:abstractNumId w:val="17"/>
  </w:num>
  <w:num w:numId="28">
    <w:abstractNumId w:val="20"/>
  </w:num>
  <w:num w:numId="29">
    <w:abstractNumId w:val="2"/>
  </w:num>
  <w:num w:numId="30">
    <w:abstractNumId w:val="22"/>
  </w:num>
  <w:num w:numId="31">
    <w:abstractNumId w:val="35"/>
  </w:num>
  <w:num w:numId="32">
    <w:abstractNumId w:val="12"/>
  </w:num>
  <w:num w:numId="33">
    <w:abstractNumId w:val="7"/>
  </w:num>
  <w:num w:numId="34">
    <w:abstractNumId w:val="4"/>
  </w:num>
  <w:num w:numId="35">
    <w:abstractNumId w:val="36"/>
  </w:num>
  <w:num w:numId="36">
    <w:abstractNumId w:val="1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E0"/>
    <w:rsid w:val="00080124"/>
    <w:rsid w:val="000E65F2"/>
    <w:rsid w:val="00352859"/>
    <w:rsid w:val="00367125"/>
    <w:rsid w:val="00370A46"/>
    <w:rsid w:val="004F64A5"/>
    <w:rsid w:val="00591D86"/>
    <w:rsid w:val="00665A6F"/>
    <w:rsid w:val="00684ECB"/>
    <w:rsid w:val="00690071"/>
    <w:rsid w:val="006E5AFC"/>
    <w:rsid w:val="00770433"/>
    <w:rsid w:val="007E35FC"/>
    <w:rsid w:val="00C328C9"/>
    <w:rsid w:val="00CF73A1"/>
    <w:rsid w:val="00DA1532"/>
    <w:rsid w:val="00E456E0"/>
    <w:rsid w:val="00E87451"/>
    <w:rsid w:val="00ED6A55"/>
    <w:rsid w:val="00F33197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41516"/>
  <w15:chartTrackingRefBased/>
  <w15:docId w15:val="{E59D5994-E458-44CB-AD36-DEB56F65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6E0"/>
  </w:style>
  <w:style w:type="paragraph" w:styleId="Piedepgina">
    <w:name w:val="footer"/>
    <w:basedOn w:val="Normal"/>
    <w:link w:val="Piedepgina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6E0"/>
  </w:style>
  <w:style w:type="paragraph" w:styleId="Prrafodelista">
    <w:name w:val="List Paragraph"/>
    <w:basedOn w:val="Normal"/>
    <w:uiPriority w:val="34"/>
    <w:qFormat/>
    <w:rsid w:val="0077043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70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tej.mx/el-ciatej/integridad-publi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atej-my.sharepoint.com/:f:/g/personal/msantana_ciatej_mx/EhkO1xKcPrdBpxjBt9lxYegB2l9lAdKLUSuAJ21ZXbkcFA?e=mnolw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atej.mx/estudia-ciatej/posgrados/normativ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atej.mx/el-ciatej/integridad-publ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1406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Igualdad</dc:creator>
  <cp:keywords/>
  <dc:description/>
  <cp:lastModifiedBy>Erika Nahomy Marino Marmolejo</cp:lastModifiedBy>
  <cp:revision>3</cp:revision>
  <dcterms:created xsi:type="dcterms:W3CDTF">2025-11-06T17:57:00Z</dcterms:created>
  <dcterms:modified xsi:type="dcterms:W3CDTF">2025-11-06T18:29:00Z</dcterms:modified>
</cp:coreProperties>
</file>