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87" w14:textId="77777777" w:rsidR="00550AEB" w:rsidRPr="00550AEB" w:rsidRDefault="00550AEB" w:rsidP="00550AEB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Acciones para fomentar la igualdad sustantiva entre las y los estudiantes del CIATEJ</w:t>
      </w:r>
    </w:p>
    <w:p w14:paraId="7FEBE034" w14:textId="77777777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170530F1" w14:textId="77777777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Centro de Investigación y Asistencia en Tecnología y Diseño del Estado de Jalisco (CIATEJ), como Centro Público de Investigación adscrito a la Secretaría de Investigación, Humanidades, Ciencia y Tecnología (SECIHTI), asume el compromiso institucional de garantizar la igualdad sustantiva entre mujeres y hombres en todos los ámbitos de su quehacer académico, científico y administrativo.</w:t>
      </w:r>
    </w:p>
    <w:p w14:paraId="3D333F61" w14:textId="48086FFB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Tanto l</w:t>
      </w:r>
      <w:r w:rsidR="00F7613A">
        <w:rPr>
          <w:rFonts w:ascii="Nirmala UI" w:eastAsia="Times New Roman" w:hAnsi="Nirmala UI" w:cs="Nirmala UI"/>
          <w:lang w:val="es-MX" w:eastAsia="es-MX"/>
        </w:rPr>
        <w:t>os programas de</w:t>
      </w:r>
      <w:r w:rsidRPr="00550AEB">
        <w:rPr>
          <w:rFonts w:ascii="Nirmala UI" w:eastAsia="Times New Roman" w:hAnsi="Nirmala UI" w:cs="Nirmala UI"/>
          <w:lang w:val="es-MX" w:eastAsia="es-MX"/>
        </w:rPr>
        <w:t xml:space="preserve"> Maestría como el Doctorado se diseñaron bajo una perspectiva de equidad y derechos humanos, en concordancia con los principios de la Ley General para la Igualdad entre Mujeres y Hombres, la Ley General de Acceso de las Mujeres a una Vida Libre de Violencia, la Norma Mexicana NMX-R-025-SCFI-2015 en Igualdad Laboral y No Discriminación, y los Objetivos de Desarrollo Sostenible de la Agenda 2030, particularmente el ODS 5: Igualdad de género.</w:t>
      </w:r>
    </w:p>
    <w:p w14:paraId="2EE4354F" w14:textId="319E30DF" w:rsidR="000769E2" w:rsidRPr="00F7613A" w:rsidRDefault="00550AEB" w:rsidP="00F7613A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CIATEJ cuenta con la certificación en Igualdad Laboral y No Discriminación (nivel oro), lo cual refleja su compromiso con la implementación de políticas institucionales orientadas a la eliminación de brechas de desigualdad, la prevención de la violencia de género y la promoción de ambientes académicos libres de discriminación y acoso.</w:t>
      </w:r>
    </w:p>
    <w:p w14:paraId="3731145A" w14:textId="44593F75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II. Marco institucional y políticas de igualdad</w:t>
      </w:r>
    </w:p>
    <w:p w14:paraId="70E6942A" w14:textId="4A8DCAA0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modelo educativo de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los </w:t>
      </w:r>
      <w:r w:rsidRPr="00550AEB">
        <w:rPr>
          <w:rFonts w:ascii="Nirmala UI" w:eastAsia="Times New Roman" w:hAnsi="Nirmala UI" w:cs="Nirmala UI"/>
          <w:lang w:val="es-MX" w:eastAsia="es-MX"/>
        </w:rPr>
        <w:t xml:space="preserve">programas 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de posgrado </w:t>
      </w:r>
      <w:r w:rsidRPr="00550AEB">
        <w:rPr>
          <w:rFonts w:ascii="Nirmala UI" w:eastAsia="Times New Roman" w:hAnsi="Nirmala UI" w:cs="Nirmala UI"/>
          <w:lang w:val="es-MX" w:eastAsia="es-MX"/>
        </w:rPr>
        <w:t>incorpora la igualdad sustantiva como eje transversal, tanto en la gestión institucional como en la formación académica y científica. Las acciones en este rubro se articulan mediante tres niveles de intervención:</w:t>
      </w:r>
    </w:p>
    <w:p w14:paraId="58CEF66F" w14:textId="6354F9FA" w:rsidR="00550AEB" w:rsidRPr="00550AEB" w:rsidRDefault="00550AEB" w:rsidP="00F7613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Política institucional y normativa interna: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</w:t>
      </w:r>
      <w:r w:rsidRPr="00550AEB">
        <w:rPr>
          <w:rFonts w:ascii="Nirmala UI" w:eastAsia="Times New Roman" w:hAnsi="Nirmala UI" w:cs="Nirmala UI"/>
          <w:lang w:val="es-MX" w:eastAsia="es-MX"/>
        </w:rPr>
        <w:t>El CIATEJ cuenta con un Protocolo para la Prevención, Atención y Sanción de la Violencia, el Acoso y el Hostigamiento, así como con un Comité de Igualdad y No Discriminación, encargado de asegurar el cumplimiento de los principios de equidad y el seguimiento de las denuncias o reportes de violencia.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</w:t>
      </w:r>
      <w:r w:rsidRPr="00550AEB">
        <w:rPr>
          <w:rFonts w:ascii="Nirmala UI" w:eastAsia="Times New Roman" w:hAnsi="Nirmala UI" w:cs="Nirmala UI"/>
          <w:lang w:val="es-MX" w:eastAsia="es-MX"/>
        </w:rPr>
        <w:t>Además, las convocatorias, procesos de admisión y becas del posgrado están sujetos a criterios de igualdad de oportunidades, garantizando un acceso equitativo sin distinción de género, edad, origen étnico o condición socioeconómica.</w:t>
      </w:r>
    </w:p>
    <w:p w14:paraId="16D0DED0" w14:textId="153F1DE8" w:rsidR="00550AEB" w:rsidRPr="00550AEB" w:rsidRDefault="00550AEB" w:rsidP="00F7613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lastRenderedPageBreak/>
        <w:t>Formación y sensibilización de la comunidad académica: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</w:t>
      </w:r>
      <w:r w:rsidRPr="00550AEB">
        <w:rPr>
          <w:rFonts w:ascii="Nirmala UI" w:eastAsia="Times New Roman" w:hAnsi="Nirmala UI" w:cs="Nirmala UI"/>
          <w:lang w:val="es-MX" w:eastAsia="es-MX"/>
        </w:rPr>
        <w:t>Se realizan de manera periódica talleres, conferencias y cursos de capacitación dirigidos a estudiantes, docentes y personal administrativo en temas de perspectiva de género, lenguaje incluyente, diversidad e inclusión.</w:t>
      </w:r>
      <w:r w:rsidRPr="00550AEB">
        <w:rPr>
          <w:rFonts w:ascii="Nirmala UI" w:eastAsia="Times New Roman" w:hAnsi="Nirmala UI" w:cs="Nirmala UI"/>
          <w:lang w:val="es-MX" w:eastAsia="es-MX"/>
        </w:rPr>
        <w:br/>
        <w:t>Estas actividades buscan generar conciencia, eliminar estereotipos y promover la corresponsabilidad en el ejercicio de derechos y obligaciones dentro del entorno académico.</w:t>
      </w:r>
    </w:p>
    <w:p w14:paraId="0B935D14" w14:textId="2A521372" w:rsidR="000769E2" w:rsidRPr="00550AEB" w:rsidRDefault="00550AEB" w:rsidP="00F7613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Infraestructura y políticas de conciliación: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</w:t>
      </w:r>
      <w:r w:rsidRPr="00550AEB">
        <w:rPr>
          <w:rFonts w:ascii="Nirmala UI" w:eastAsia="Times New Roman" w:hAnsi="Nirmala UI" w:cs="Nirmala UI"/>
          <w:lang w:val="es-MX" w:eastAsia="es-MX"/>
        </w:rPr>
        <w:t>El CIATEJ promueve condiciones adecuadas para la conciliación de la vida académica, laboral y personal, ofreciendo flexibilidad en horarios de tutoría, uso de recursos tecnológicos para sesiones virtuales y atención diferenciada para casos de maternidad, paternidad o situaciones familiares especiales, con el fin de evitar deserción o rezago por motivos de género.</w:t>
      </w:r>
    </w:p>
    <w:p w14:paraId="07CBBAFF" w14:textId="77777777" w:rsidR="00550AEB" w:rsidRPr="00550AEB" w:rsidRDefault="00550AEB" w:rsidP="00550AEB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III. Acciones implementadas en el posgrado</w:t>
      </w:r>
    </w:p>
    <w:p w14:paraId="2DD179DE" w14:textId="77777777" w:rsidR="00550AEB" w:rsidRPr="00550AEB" w:rsidRDefault="00550AEB" w:rsidP="00550AEB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1. Admisión con perspectiva de igualdad</w:t>
      </w:r>
    </w:p>
    <w:p w14:paraId="583CFA16" w14:textId="77777777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Los procesos de selección de estudiantes de maestría y doctorado están diseñados con criterios objetivos y transparentes, centrados en la evaluación del mérito académico y la capacidad de investigación. Las convocatorias emplean lenguaje inclusivo y no sexista, y los comités de admisión integran de manera equilibrada a mujeres y hombres, garantizando la representación equitativa y la imparcialidad en la evaluación de candidaturas.</w:t>
      </w:r>
    </w:p>
    <w:p w14:paraId="2930EA16" w14:textId="01C48BFB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Asimismo, se promueve la participación de mujeres en campos de la biotecnología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550AEB">
        <w:rPr>
          <w:rFonts w:ascii="Nirmala UI" w:eastAsia="Times New Roman" w:hAnsi="Nirmala UI" w:cs="Nirmala UI"/>
          <w:lang w:val="es-MX" w:eastAsia="es-MX"/>
        </w:rPr>
        <w:t>incentivando su incorporación en líneas de investigación de frontera y fomentando la igualdad de condiciones para el acceso a tutorías y proyectos de alto impacto.</w:t>
      </w:r>
    </w:p>
    <w:p w14:paraId="5491104E" w14:textId="77777777" w:rsidR="00550AEB" w:rsidRPr="00550AEB" w:rsidRDefault="00550AEB" w:rsidP="00550AEB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2. Tutoría, acompañamiento y prevención del abandono</w:t>
      </w:r>
    </w:p>
    <w:p w14:paraId="5C2B50A8" w14:textId="77777777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Ambos programas incluyen un sistema de tutorías personalizadas que permite el acompañamiento académico y emocional de las y los estudiantes. Este modelo integra un seguimiento diferenciado para identificar posibles factores de desigualdad o riesgo de abandono escolar, con especial atención a estudiantes que enfrentan condiciones familiares, de salud o de género que puedan afectar su desempeño.</w:t>
      </w:r>
    </w:p>
    <w:p w14:paraId="29160B18" w14:textId="36A4144A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lastRenderedPageBreak/>
        <w:t xml:space="preserve">El </w:t>
      </w:r>
      <w:r w:rsidR="00F7613A">
        <w:rPr>
          <w:rFonts w:ascii="Nirmala UI" w:eastAsia="Times New Roman" w:hAnsi="Nirmala UI" w:cs="Nirmala UI"/>
          <w:lang w:val="es-MX" w:eastAsia="es-MX"/>
        </w:rPr>
        <w:t>Consejo Institucional de</w:t>
      </w:r>
      <w:r w:rsidRPr="00550AEB">
        <w:rPr>
          <w:rFonts w:ascii="Nirmala UI" w:eastAsia="Times New Roman" w:hAnsi="Nirmala UI" w:cs="Nirmala UI"/>
          <w:lang w:val="es-MX" w:eastAsia="es-MX"/>
        </w:rPr>
        <w:t xml:space="preserve"> Posgrado supervisa la equidad en la asignación de tutorías y </w:t>
      </w:r>
      <w:proofErr w:type="spellStart"/>
      <w:r w:rsidRPr="00550AEB">
        <w:rPr>
          <w:rFonts w:ascii="Nirmala UI" w:eastAsia="Times New Roman" w:hAnsi="Nirmala UI" w:cs="Nirmala UI"/>
          <w:lang w:val="es-MX" w:eastAsia="es-MX"/>
        </w:rPr>
        <w:t>co-tutorías</w:t>
      </w:r>
      <w:proofErr w:type="spellEnd"/>
      <w:r w:rsidRPr="00550AEB">
        <w:rPr>
          <w:rFonts w:ascii="Nirmala UI" w:eastAsia="Times New Roman" w:hAnsi="Nirmala UI" w:cs="Nirmala UI"/>
          <w:lang w:val="es-MX" w:eastAsia="es-MX"/>
        </w:rPr>
        <w:t>, así como la distribución balanceada de responsabilidades en proyectos de investigación. De igual manera, se procura que las oportunidades de movilidad, participación en congresos y estancias nacionales o internacionales se otorguen con equidad y sin sesgos de género.</w:t>
      </w:r>
    </w:p>
    <w:p w14:paraId="4DB45CBA" w14:textId="77777777" w:rsidR="00550AEB" w:rsidRPr="00550AEB" w:rsidRDefault="00550AEB" w:rsidP="00550AEB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3. Formación integral con perspectiva de género</w:t>
      </w:r>
    </w:p>
    <w:p w14:paraId="1B563094" w14:textId="3F6E879E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Los planes de estudio del Doctorado y la Maestría integran en su estructura curricular y en las actividades complementarias un enfoque ético y de responsabilidad social que promueve la igualdad.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</w:t>
      </w:r>
      <w:r w:rsidRPr="00550AEB">
        <w:rPr>
          <w:rFonts w:ascii="Nirmala UI" w:eastAsia="Times New Roman" w:hAnsi="Nirmala UI" w:cs="Nirmala UI"/>
          <w:lang w:val="es-MX" w:eastAsia="es-MX"/>
        </w:rPr>
        <w:t>En asignaturas como Gestión de la Innovación Biotecnológica, Seminarios de Investigación y Retribución Social, se incluyen reflexiones sobre el papel de la ciencia con perspectiva de género, la participación equitativa en la generación de conocimiento y la importancia del liderazgo femenino en la innovación tecnológica.</w:t>
      </w:r>
    </w:p>
    <w:p w14:paraId="0B691307" w14:textId="0E95211A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Además, las y los estudiantes participan en actividades de divulgación científica con enfoque social, colaborando en proyectos orientados a comunidades vulnerables o en situación de desventaja, donde la biotecnología se aplica para mejorar la calidad de vida y reducir brechas sociales.</w:t>
      </w:r>
    </w:p>
    <w:p w14:paraId="590BACDD" w14:textId="77777777" w:rsidR="00550AEB" w:rsidRPr="00550AEB" w:rsidRDefault="00550AEB" w:rsidP="00550AEB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4. Cultura institucional y participación equilibrada</w:t>
      </w:r>
    </w:p>
    <w:p w14:paraId="2FF37267" w14:textId="77777777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CIATEJ fomenta una cultura organizacional inclusiva, en la que la participación equilibrada de mujeres y hombres en cuerpos colegiados, comités académicos y equipos de investigación es una práctica institucional.</w:t>
      </w:r>
      <w:r w:rsidRPr="00550AEB">
        <w:rPr>
          <w:rFonts w:ascii="Nirmala UI" w:eastAsia="Times New Roman" w:hAnsi="Nirmala UI" w:cs="Nirmala UI"/>
          <w:lang w:val="es-MX" w:eastAsia="es-MX"/>
        </w:rPr>
        <w:br/>
        <w:t xml:space="preserve">Las políticas internas promueven la </w:t>
      </w:r>
      <w:proofErr w:type="spellStart"/>
      <w:r w:rsidRPr="00550AEB">
        <w:rPr>
          <w:rFonts w:ascii="Nirmala UI" w:eastAsia="Times New Roman" w:hAnsi="Nirmala UI" w:cs="Nirmala UI"/>
          <w:lang w:val="es-MX" w:eastAsia="es-MX"/>
        </w:rPr>
        <w:t>visibilización</w:t>
      </w:r>
      <w:proofErr w:type="spellEnd"/>
      <w:r w:rsidRPr="00550AEB">
        <w:rPr>
          <w:rFonts w:ascii="Nirmala UI" w:eastAsia="Times New Roman" w:hAnsi="Nirmala UI" w:cs="Nirmala UI"/>
          <w:lang w:val="es-MX" w:eastAsia="es-MX"/>
        </w:rPr>
        <w:t xml:space="preserve"> de mujeres científicas del Centro como modelos de liderazgo y mentoría, mediante su participación en actividades académicas, comités de evaluación y dirección de tesis.</w:t>
      </w:r>
    </w:p>
    <w:p w14:paraId="1442D684" w14:textId="62DC773A" w:rsid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La existencia de redes de colaboración interinstitucionales permite también fortalecer el trabajo conjunto con otras instituciones comprometidas con la igualdad de género y la inclusión, tanto a nivel nacional como internacional.</w:t>
      </w:r>
    </w:p>
    <w:p w14:paraId="632C4B8F" w14:textId="77777777" w:rsidR="00550AEB" w:rsidRPr="00550AEB" w:rsidRDefault="00550AEB" w:rsidP="00550AEB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IV. Evaluación y mejora continua de las acciones de igualdad</w:t>
      </w:r>
    </w:p>
    <w:p w14:paraId="355BA356" w14:textId="66A9C846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 xml:space="preserve">En concordancia con el sistema de gestión de calidad ISO 9001:2015 y los mecanismos de evaluación institucional del CIATEJ, las acciones para fomentar la </w:t>
      </w:r>
      <w:r w:rsidRPr="00550AEB">
        <w:rPr>
          <w:rFonts w:ascii="Nirmala UI" w:eastAsia="Times New Roman" w:hAnsi="Nirmala UI" w:cs="Nirmala UI"/>
          <w:lang w:val="es-MX" w:eastAsia="es-MX"/>
        </w:rPr>
        <w:lastRenderedPageBreak/>
        <w:t>igualdad sustantiva se monitorean y actualizan de forma continua.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La</w:t>
      </w:r>
      <w:r w:rsidRPr="00550AEB">
        <w:rPr>
          <w:rFonts w:ascii="Nirmala UI" w:eastAsia="Times New Roman" w:hAnsi="Nirmala UI" w:cs="Nirmala UI"/>
          <w:lang w:val="es-MX" w:eastAsia="es-MX"/>
        </w:rPr>
        <w:t xml:space="preserve"> Coordinación de Posgrados</w:t>
      </w:r>
      <w:r w:rsidR="00F7613A">
        <w:rPr>
          <w:rFonts w:ascii="Nirmala UI" w:eastAsia="Times New Roman" w:hAnsi="Nirmala UI" w:cs="Nirmala UI"/>
          <w:lang w:val="es-MX" w:eastAsia="es-MX"/>
        </w:rPr>
        <w:t xml:space="preserve"> en conjunto con el Sistema de Gestión de la Calidad</w:t>
      </w:r>
      <w:r w:rsidR="00B768FC">
        <w:rPr>
          <w:rFonts w:ascii="Nirmala UI" w:eastAsia="Times New Roman" w:hAnsi="Nirmala UI" w:cs="Nirmala UI"/>
          <w:lang w:val="es-MX" w:eastAsia="es-MX"/>
        </w:rPr>
        <w:t xml:space="preserve"> y con el Comité de riesgos institucionales</w:t>
      </w:r>
      <w:r w:rsidRPr="00550AEB">
        <w:rPr>
          <w:rFonts w:ascii="Nirmala UI" w:eastAsia="Times New Roman" w:hAnsi="Nirmala UI" w:cs="Nirmala UI"/>
          <w:lang w:val="es-MX" w:eastAsia="es-MX"/>
        </w:rPr>
        <w:t>, evalúan anualmente indicadores relacionados con:</w:t>
      </w:r>
    </w:p>
    <w:p w14:paraId="1795F3C9" w14:textId="77777777" w:rsidR="00550AEB" w:rsidRPr="00550AEB" w:rsidRDefault="00550AEB" w:rsidP="00550AE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Equidad en la matrícula por género.</w:t>
      </w:r>
    </w:p>
    <w:p w14:paraId="6EB61BD1" w14:textId="77777777" w:rsidR="00550AEB" w:rsidRPr="00550AEB" w:rsidRDefault="00550AEB" w:rsidP="00550AE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Permanencia y conclusión de estudios.</w:t>
      </w:r>
    </w:p>
    <w:p w14:paraId="5B560ACC" w14:textId="77777777" w:rsidR="00550AEB" w:rsidRPr="00550AEB" w:rsidRDefault="00550AEB" w:rsidP="00550AE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Participación de mujeres y hombres en tutorías, proyectos y publicaciones.</w:t>
      </w:r>
    </w:p>
    <w:p w14:paraId="0EE92747" w14:textId="77777777" w:rsidR="00550AEB" w:rsidRPr="00550AEB" w:rsidRDefault="00550AEB" w:rsidP="00550AE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Acceso equitativo a becas, movilidad y apoyos institucionales.</w:t>
      </w:r>
    </w:p>
    <w:p w14:paraId="68487970" w14:textId="0E558295" w:rsidR="000769E2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A partir de estos datos, se implementan planes de mejora orientados a fortalecer la participación de grupos históricamente subrepresentados, reducir las brechas de desigualdad y promover una cultura de respeto e inclusión.</w:t>
      </w:r>
    </w:p>
    <w:p w14:paraId="71AB3DE1" w14:textId="20462432" w:rsidR="00550AEB" w:rsidRPr="00550AEB" w:rsidRDefault="00550AEB" w:rsidP="00550AEB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V. Conclusi</w:t>
      </w:r>
      <w:r>
        <w:rPr>
          <w:rFonts w:ascii="Nirmala UI" w:eastAsia="Times New Roman" w:hAnsi="Nirmala UI" w:cs="Nirmala UI"/>
          <w:b/>
          <w:bCs/>
          <w:lang w:val="es-MX" w:eastAsia="es-MX"/>
        </w:rPr>
        <w:t>ón</w:t>
      </w:r>
    </w:p>
    <w:p w14:paraId="28991B66" w14:textId="77777777" w:rsid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CIATEJ ha consolidado una política institucional integral de igualdad sustantiva, que se refleja en la gestión, los procesos académicos y la cultura organizacional de sus programas de posgrado.</w:t>
      </w:r>
    </w:p>
    <w:p w14:paraId="5171D1CE" w14:textId="0D53B3EE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 xml:space="preserve">Las acciones implementadas en </w:t>
      </w:r>
      <w:r>
        <w:rPr>
          <w:rFonts w:ascii="Nirmala UI" w:eastAsia="Times New Roman" w:hAnsi="Nirmala UI" w:cs="Nirmala UI"/>
          <w:lang w:val="es-MX" w:eastAsia="es-MX"/>
        </w:rPr>
        <w:t>los programas de posgrado del CIATEJ</w:t>
      </w:r>
      <w:r w:rsidRPr="00550AEB">
        <w:rPr>
          <w:rFonts w:ascii="Nirmala UI" w:eastAsia="Times New Roman" w:hAnsi="Nirmala UI" w:cs="Nirmala UI"/>
          <w:lang w:val="es-MX" w:eastAsia="es-MX"/>
        </w:rPr>
        <w:t xml:space="preserve"> garantizan la igualdad de oportunidades en el acceso, permanencia y egreso del estudiantado, promoviendo una formación científica con responsabilidad social, equidad y respeto a los derechos humanos.</w:t>
      </w:r>
    </w:p>
    <w:p w14:paraId="168AA96D" w14:textId="77777777" w:rsidR="00550AEB" w:rsidRPr="00550AEB" w:rsidRDefault="00550AEB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550AEB">
        <w:rPr>
          <w:rFonts w:ascii="Nirmala UI" w:eastAsia="Times New Roman" w:hAnsi="Nirmala UI" w:cs="Nirmala UI"/>
          <w:lang w:val="es-MX" w:eastAsia="es-MX"/>
        </w:rPr>
        <w:t>El compromiso del Centro trasciende el cumplimiento normativo: se orienta hacia la transformación cultural y estructural que permita consolidar entornos académicos seguros, libres de violencia y plenamente inclusivos, en los que mujeres y hombres contribuyan en igualdad de condiciones al desarrollo científico y tecnológico de México.</w:t>
      </w:r>
    </w:p>
    <w:p w14:paraId="17181664" w14:textId="77777777" w:rsidR="00D055F5" w:rsidRPr="00550AEB" w:rsidRDefault="00D055F5" w:rsidP="009012EE">
      <w:pPr>
        <w:rPr>
          <w:rFonts w:ascii="Nirmala UI" w:hAnsi="Nirmala UI" w:cs="Nirmala UI"/>
        </w:rPr>
      </w:pPr>
    </w:p>
    <w:sectPr w:rsidR="00D055F5" w:rsidRPr="00550AEB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D8F"/>
    <w:multiLevelType w:val="multilevel"/>
    <w:tmpl w:val="703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5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6F40C1"/>
    <w:multiLevelType w:val="multilevel"/>
    <w:tmpl w:val="D91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769E2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50AEB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768FC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A7C7F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7613A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2</cp:revision>
  <dcterms:created xsi:type="dcterms:W3CDTF">2025-11-10T17:49:00Z</dcterms:created>
  <dcterms:modified xsi:type="dcterms:W3CDTF">2025-11-10T17:49:00Z</dcterms:modified>
</cp:coreProperties>
</file>