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943F" w14:textId="497BA784" w:rsidR="00643DE8" w:rsidRPr="00B00F5A" w:rsidRDefault="00643DE8" w:rsidP="00643DE8">
      <w:pPr>
        <w:jc w:val="both"/>
        <w:rPr>
          <w:rFonts w:ascii="Nirmala UI" w:hAnsi="Nirmala UI" w:cs="Nirmala UI"/>
          <w:b/>
          <w:bCs/>
          <w:sz w:val="28"/>
          <w:szCs w:val="28"/>
        </w:rPr>
      </w:pPr>
      <w:r w:rsidRPr="00B00F5A">
        <w:rPr>
          <w:rFonts w:ascii="Nirmala UI" w:hAnsi="Nirmala UI" w:cs="Nirmala UI"/>
          <w:b/>
          <w:bCs/>
          <w:sz w:val="28"/>
          <w:szCs w:val="28"/>
        </w:rPr>
        <w:t>Idoneidad entre los Objetivos del Programa de Doctorado en Ciencias en Innovación Biotecnológica y el Perfil del Personal Académico.</w:t>
      </w:r>
    </w:p>
    <w:p w14:paraId="27D6575C" w14:textId="77777777" w:rsidR="00643DE8" w:rsidRPr="00C5397E" w:rsidRDefault="00643DE8" w:rsidP="00643DE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E21F75A" w14:textId="29B48028" w:rsidR="00643DE8" w:rsidRPr="00134EEA" w:rsidRDefault="00643DE8" w:rsidP="00643DE8">
      <w:pPr>
        <w:pStyle w:val="Prrafodelista"/>
        <w:numPr>
          <w:ilvl w:val="0"/>
          <w:numId w:val="15"/>
        </w:numPr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34EEA">
        <w:rPr>
          <w:rFonts w:ascii="Nirmala UI" w:hAnsi="Nirmala UI" w:cs="Nirmala UI"/>
          <w:b/>
          <w:bCs/>
          <w:sz w:val="24"/>
          <w:szCs w:val="24"/>
        </w:rPr>
        <w:t>Introducción</w:t>
      </w:r>
      <w:proofErr w:type="spellEnd"/>
    </w:p>
    <w:p w14:paraId="530609D8" w14:textId="77777777" w:rsidR="00643DE8" w:rsidRPr="00C5397E" w:rsidRDefault="00643DE8" w:rsidP="00643DE8">
      <w:pPr>
        <w:rPr>
          <w:rFonts w:ascii="Arial" w:hAnsi="Arial" w:cs="Arial"/>
          <w:b/>
          <w:bCs/>
          <w:sz w:val="28"/>
          <w:szCs w:val="28"/>
        </w:rPr>
      </w:pPr>
    </w:p>
    <w:p w14:paraId="481AEF97" w14:textId="701723CB" w:rsidR="00643DE8" w:rsidRPr="00134EEA" w:rsidRDefault="00643DE8" w:rsidP="00643DE8">
      <w:pPr>
        <w:jc w:val="both"/>
        <w:rPr>
          <w:rFonts w:ascii="Nirmala UI" w:hAnsi="Nirmala UI" w:cs="Nirmala UI"/>
        </w:rPr>
      </w:pPr>
      <w:r w:rsidRPr="00134EEA">
        <w:rPr>
          <w:rFonts w:ascii="Nirmala UI" w:hAnsi="Nirmala UI" w:cs="Nirmala UI"/>
        </w:rPr>
        <w:t>El Doctorado en Ciencias en Innovación Biotecnológica del CIATEJ es un programa orientado a la formación de investigadores capaces de generar conocimiento científico original, desarrollar tecnología de frontera y contribuir a la solución de problemáticas sociales, ambientales, productivas y de salud mediante el uso de herramientas biotecnológicas.</w:t>
      </w:r>
    </w:p>
    <w:p w14:paraId="42C503C7" w14:textId="77777777" w:rsidR="00643DE8" w:rsidRPr="00134EEA" w:rsidRDefault="00643DE8" w:rsidP="00643DE8">
      <w:pPr>
        <w:jc w:val="both"/>
        <w:rPr>
          <w:rFonts w:ascii="Nirmala UI" w:hAnsi="Nirmala UI" w:cs="Nirmala UI"/>
        </w:rPr>
      </w:pPr>
    </w:p>
    <w:p w14:paraId="4A33E712" w14:textId="77777777" w:rsidR="00643DE8" w:rsidRPr="00134EEA" w:rsidRDefault="00643DE8" w:rsidP="00643DE8">
      <w:pPr>
        <w:jc w:val="both"/>
        <w:rPr>
          <w:rFonts w:ascii="Nirmala UI" w:hAnsi="Nirmala UI" w:cs="Nirmala UI"/>
        </w:rPr>
      </w:pPr>
      <w:r w:rsidRPr="00134EEA">
        <w:rPr>
          <w:rFonts w:ascii="Nirmala UI" w:hAnsi="Nirmala UI" w:cs="Nirmala UI"/>
        </w:rPr>
        <w:t>La pertinencia y calidad del programa no sólo se refleja en su estructura curricular, sino también en la idoneidad y solvencia académica del profesorado que lo integra. Este capítulo expone de forma argumentada cómo los objetivos formativos del doctorado se corresponden con las capacidades, trayectorias, líneas de investigación y experiencia profesional del personal académico.</w:t>
      </w:r>
    </w:p>
    <w:p w14:paraId="2BC076D1" w14:textId="77777777" w:rsidR="00643DE8" w:rsidRPr="00134EEA" w:rsidRDefault="00643DE8" w:rsidP="00643DE8">
      <w:pPr>
        <w:jc w:val="both"/>
        <w:rPr>
          <w:rFonts w:ascii="Nirmala UI" w:hAnsi="Nirmala UI" w:cs="Nirmala UI"/>
          <w:sz w:val="22"/>
          <w:szCs w:val="22"/>
        </w:rPr>
      </w:pPr>
    </w:p>
    <w:p w14:paraId="6E48AF6C" w14:textId="603262F7" w:rsidR="00643DE8" w:rsidRPr="00134EEA" w:rsidRDefault="00643DE8" w:rsidP="00643DE8">
      <w:pPr>
        <w:pStyle w:val="Prrafodelista"/>
        <w:numPr>
          <w:ilvl w:val="0"/>
          <w:numId w:val="15"/>
        </w:numPr>
        <w:jc w:val="both"/>
        <w:rPr>
          <w:rFonts w:ascii="Nirmala UI" w:hAnsi="Nirmala UI" w:cs="Nirmala UI"/>
          <w:b/>
          <w:bCs/>
          <w:sz w:val="22"/>
          <w:szCs w:val="22"/>
        </w:rPr>
      </w:pPr>
      <w:r w:rsidRPr="00134EEA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34EEA">
        <w:rPr>
          <w:rFonts w:ascii="Nirmala UI" w:hAnsi="Nirmala UI" w:cs="Nirmala UI"/>
          <w:b/>
          <w:bCs/>
          <w:sz w:val="24"/>
          <w:szCs w:val="24"/>
        </w:rPr>
        <w:t>Objetivos</w:t>
      </w:r>
      <w:proofErr w:type="spellEnd"/>
      <w:r w:rsidRPr="00134EEA">
        <w:rPr>
          <w:rFonts w:ascii="Nirmala UI" w:hAnsi="Nirmala UI" w:cs="Nirmala UI"/>
          <w:b/>
          <w:bCs/>
          <w:sz w:val="24"/>
          <w:szCs w:val="24"/>
        </w:rPr>
        <w:t xml:space="preserve"> del </w:t>
      </w:r>
      <w:proofErr w:type="spellStart"/>
      <w:r w:rsidRPr="00134EEA">
        <w:rPr>
          <w:rFonts w:ascii="Nirmala UI" w:hAnsi="Nirmala UI" w:cs="Nirmala UI"/>
          <w:b/>
          <w:bCs/>
          <w:sz w:val="24"/>
          <w:szCs w:val="24"/>
        </w:rPr>
        <w:t>programa</w:t>
      </w:r>
      <w:proofErr w:type="spellEnd"/>
      <w:r w:rsidRPr="00134EEA">
        <w:rPr>
          <w:rFonts w:ascii="Nirmala UI" w:hAnsi="Nirmala UI" w:cs="Nirmala UI"/>
          <w:b/>
          <w:bCs/>
          <w:sz w:val="24"/>
          <w:szCs w:val="24"/>
        </w:rPr>
        <w:t xml:space="preserve"> y </w:t>
      </w:r>
      <w:proofErr w:type="spellStart"/>
      <w:r w:rsidRPr="00134EEA">
        <w:rPr>
          <w:rFonts w:ascii="Nirmala UI" w:hAnsi="Nirmala UI" w:cs="Nirmala UI"/>
          <w:b/>
          <w:bCs/>
          <w:sz w:val="24"/>
          <w:szCs w:val="24"/>
        </w:rPr>
        <w:t>su</w:t>
      </w:r>
      <w:proofErr w:type="spellEnd"/>
      <w:r w:rsidRPr="00134EEA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34EEA">
        <w:rPr>
          <w:rFonts w:ascii="Nirmala UI" w:hAnsi="Nirmala UI" w:cs="Nirmala UI"/>
          <w:b/>
          <w:bCs/>
          <w:sz w:val="24"/>
          <w:szCs w:val="24"/>
        </w:rPr>
        <w:t>pertinencia</w:t>
      </w:r>
      <w:proofErr w:type="spellEnd"/>
      <w:r w:rsidRPr="00134EEA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34EEA">
        <w:rPr>
          <w:rFonts w:ascii="Nirmala UI" w:hAnsi="Nirmala UI" w:cs="Nirmala UI"/>
          <w:b/>
          <w:bCs/>
          <w:sz w:val="24"/>
          <w:szCs w:val="24"/>
        </w:rPr>
        <w:t>formativ</w:t>
      </w:r>
      <w:r w:rsidR="00C5397E" w:rsidRPr="00134EEA">
        <w:rPr>
          <w:rFonts w:ascii="Nirmala UI" w:hAnsi="Nirmala UI" w:cs="Nirmala UI"/>
          <w:b/>
          <w:bCs/>
          <w:sz w:val="24"/>
          <w:szCs w:val="24"/>
        </w:rPr>
        <w:t>a</w:t>
      </w:r>
      <w:proofErr w:type="spellEnd"/>
    </w:p>
    <w:p w14:paraId="5B4EFA71" w14:textId="77777777" w:rsidR="00643DE8" w:rsidRPr="00643DE8" w:rsidRDefault="00643DE8" w:rsidP="00643DE8">
      <w:pPr>
        <w:jc w:val="both"/>
        <w:rPr>
          <w:b/>
          <w:bCs/>
        </w:rPr>
      </w:pPr>
    </w:p>
    <w:p w14:paraId="757EA463" w14:textId="77777777" w:rsidR="00643DE8" w:rsidRPr="00643DE8" w:rsidRDefault="00643DE8" w:rsidP="00643DE8">
      <w:pPr>
        <w:jc w:val="both"/>
      </w:pPr>
      <w:r w:rsidRPr="00643DE8">
        <w:t>Los objetivos del programa se centran en:</w:t>
      </w:r>
    </w:p>
    <w:p w14:paraId="1675685F" w14:textId="77777777" w:rsidR="00643DE8" w:rsidRPr="00134EEA" w:rsidRDefault="00643DE8" w:rsidP="00134EEA">
      <w:pPr>
        <w:pStyle w:val="Prrafodelista"/>
        <w:numPr>
          <w:ilvl w:val="0"/>
          <w:numId w:val="17"/>
        </w:numPr>
        <w:jc w:val="both"/>
        <w:rPr>
          <w:rFonts w:ascii="Nirmala UI" w:hAnsi="Nirmala UI" w:cs="Nirmala UI"/>
          <w:sz w:val="22"/>
          <w:szCs w:val="22"/>
        </w:rPr>
      </w:pPr>
      <w:r w:rsidRPr="00134EEA">
        <w:rPr>
          <w:rFonts w:ascii="Nirmala UI" w:hAnsi="Nirmala UI" w:cs="Nirmala UI"/>
          <w:sz w:val="22"/>
          <w:szCs w:val="22"/>
        </w:rPr>
        <w:t>Formar investigadores de alto nivel con capacidad para generar conocimiento original y aplicado.</w:t>
      </w:r>
    </w:p>
    <w:p w14:paraId="3131C879" w14:textId="77777777" w:rsidR="00643DE8" w:rsidRPr="00134EEA" w:rsidRDefault="00643DE8" w:rsidP="00134EEA">
      <w:pPr>
        <w:pStyle w:val="Prrafodelista"/>
        <w:numPr>
          <w:ilvl w:val="0"/>
          <w:numId w:val="17"/>
        </w:numPr>
        <w:jc w:val="both"/>
        <w:rPr>
          <w:rFonts w:ascii="Nirmala UI" w:hAnsi="Nirmala UI" w:cs="Nirmala UI"/>
          <w:sz w:val="22"/>
          <w:szCs w:val="22"/>
        </w:rPr>
      </w:pPr>
      <w:r w:rsidRPr="00134EEA">
        <w:rPr>
          <w:rFonts w:ascii="Nirmala UI" w:hAnsi="Nirmala UI" w:cs="Nirmala UI"/>
          <w:sz w:val="22"/>
          <w:szCs w:val="22"/>
        </w:rPr>
        <w:t>Desarrollar innovaciones biotecnológicas con impacto en sectores agroalimentarios, ambientales, industriales y de salud.</w:t>
      </w:r>
    </w:p>
    <w:p w14:paraId="5DE49A21" w14:textId="77777777" w:rsidR="00643DE8" w:rsidRPr="00134EEA" w:rsidRDefault="00643DE8" w:rsidP="00134EEA">
      <w:pPr>
        <w:pStyle w:val="Prrafodelista"/>
        <w:numPr>
          <w:ilvl w:val="0"/>
          <w:numId w:val="17"/>
        </w:numPr>
        <w:jc w:val="both"/>
        <w:rPr>
          <w:rFonts w:ascii="Nirmala UI" w:hAnsi="Nirmala UI" w:cs="Nirmala UI"/>
          <w:sz w:val="22"/>
          <w:szCs w:val="22"/>
        </w:rPr>
      </w:pPr>
      <w:r w:rsidRPr="00134EEA">
        <w:rPr>
          <w:rFonts w:ascii="Nirmala UI" w:hAnsi="Nirmala UI" w:cs="Nirmala UI"/>
          <w:sz w:val="22"/>
          <w:szCs w:val="22"/>
        </w:rPr>
        <w:t>Impulsar la vinculación academia-industria-sociedad y la transferencia de tecnología.</w:t>
      </w:r>
    </w:p>
    <w:p w14:paraId="25F9CB77" w14:textId="77777777" w:rsidR="00643DE8" w:rsidRPr="00134EEA" w:rsidRDefault="00643DE8" w:rsidP="00134EEA">
      <w:pPr>
        <w:pStyle w:val="Prrafodelista"/>
        <w:numPr>
          <w:ilvl w:val="0"/>
          <w:numId w:val="17"/>
        </w:numPr>
        <w:jc w:val="both"/>
        <w:rPr>
          <w:rFonts w:ascii="Nirmala UI" w:hAnsi="Nirmala UI" w:cs="Nirmala UI"/>
          <w:sz w:val="22"/>
          <w:szCs w:val="22"/>
        </w:rPr>
      </w:pPr>
      <w:r w:rsidRPr="00134EEA">
        <w:rPr>
          <w:rFonts w:ascii="Nirmala UI" w:hAnsi="Nirmala UI" w:cs="Nirmala UI"/>
          <w:sz w:val="22"/>
          <w:szCs w:val="22"/>
        </w:rPr>
        <w:t>Promover la ética científica, la sostenibilidad, la propiedad intelectual y la retribución social del conocimiento.</w:t>
      </w:r>
    </w:p>
    <w:p w14:paraId="7AFF6826" w14:textId="77777777" w:rsidR="00643DE8" w:rsidRPr="00134EEA" w:rsidRDefault="00643DE8" w:rsidP="00134EEA">
      <w:pPr>
        <w:pStyle w:val="Prrafodelista"/>
        <w:numPr>
          <w:ilvl w:val="0"/>
          <w:numId w:val="17"/>
        </w:numPr>
        <w:jc w:val="both"/>
        <w:rPr>
          <w:rFonts w:ascii="Nirmala UI" w:hAnsi="Nirmala UI" w:cs="Nirmala UI"/>
          <w:sz w:val="22"/>
          <w:szCs w:val="22"/>
        </w:rPr>
      </w:pPr>
      <w:r w:rsidRPr="00134EEA">
        <w:rPr>
          <w:rFonts w:ascii="Nirmala UI" w:hAnsi="Nirmala UI" w:cs="Nirmala UI"/>
          <w:sz w:val="22"/>
          <w:szCs w:val="22"/>
        </w:rPr>
        <w:t>Estos objetivos encuentran sustento en el diseño curricular del programa, el cual se estructura en cuatro etapas formativas, y en el perfil del profesorado, cuya experiencia profesional, científica y tecnológica garantiza su cumplimiento.</w:t>
      </w:r>
    </w:p>
    <w:p w14:paraId="334B646E" w14:textId="255C6DC2" w:rsidR="00643DE8" w:rsidRPr="00134EEA" w:rsidRDefault="00643DE8" w:rsidP="00643DE8">
      <w:pPr>
        <w:rPr>
          <w:rFonts w:ascii="Nirmala UI" w:hAnsi="Nirmala UI" w:cs="Nirmala UI"/>
          <w:b/>
          <w:bCs/>
          <w:sz w:val="32"/>
          <w:szCs w:val="32"/>
        </w:rPr>
      </w:pPr>
    </w:p>
    <w:p w14:paraId="6E5895B7" w14:textId="77E20E16" w:rsidR="00643DE8" w:rsidRPr="00C5397E" w:rsidRDefault="00643DE8" w:rsidP="00643DE8">
      <w:pPr>
        <w:pStyle w:val="Prrafodelista"/>
        <w:numPr>
          <w:ilvl w:val="0"/>
          <w:numId w:val="15"/>
        </w:numPr>
        <w:rPr>
          <w:rFonts w:ascii="Nirmala UI" w:hAnsi="Nirmala UI" w:cs="Nirmala UI"/>
          <w:b/>
          <w:bCs/>
          <w:sz w:val="24"/>
          <w:szCs w:val="24"/>
        </w:rPr>
      </w:pPr>
      <w:r w:rsidRPr="00C5397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5397E">
        <w:rPr>
          <w:rFonts w:ascii="Nirmala UI" w:hAnsi="Nirmala UI" w:cs="Nirmala UI"/>
          <w:b/>
          <w:bCs/>
          <w:sz w:val="24"/>
          <w:szCs w:val="24"/>
        </w:rPr>
        <w:t>Estructura</w:t>
      </w:r>
      <w:proofErr w:type="spellEnd"/>
      <w:r w:rsidRPr="00C5397E">
        <w:rPr>
          <w:rFonts w:ascii="Nirmala UI" w:hAnsi="Nirmala UI" w:cs="Nirmala UI"/>
          <w:b/>
          <w:bCs/>
          <w:sz w:val="24"/>
          <w:szCs w:val="24"/>
        </w:rPr>
        <w:t xml:space="preserve"> curricular y </w:t>
      </w:r>
      <w:proofErr w:type="spellStart"/>
      <w:r w:rsidRPr="00C5397E">
        <w:rPr>
          <w:rFonts w:ascii="Nirmala UI" w:hAnsi="Nirmala UI" w:cs="Nirmala UI"/>
          <w:b/>
          <w:bCs/>
          <w:sz w:val="24"/>
          <w:szCs w:val="24"/>
        </w:rPr>
        <w:t>articulación</w:t>
      </w:r>
      <w:proofErr w:type="spellEnd"/>
      <w:r w:rsidRPr="00C5397E">
        <w:rPr>
          <w:rFonts w:ascii="Nirmala UI" w:hAnsi="Nirmala UI" w:cs="Nirmala UI"/>
          <w:b/>
          <w:bCs/>
          <w:sz w:val="24"/>
          <w:szCs w:val="24"/>
        </w:rPr>
        <w:t xml:space="preserve"> con </w:t>
      </w:r>
      <w:proofErr w:type="spellStart"/>
      <w:r w:rsidRPr="00C5397E">
        <w:rPr>
          <w:rFonts w:ascii="Nirmala UI" w:hAnsi="Nirmala UI" w:cs="Nirmala UI"/>
          <w:b/>
          <w:bCs/>
          <w:sz w:val="24"/>
          <w:szCs w:val="24"/>
        </w:rPr>
        <w:t>el</w:t>
      </w:r>
      <w:proofErr w:type="spellEnd"/>
      <w:r w:rsidRPr="00C5397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5397E">
        <w:rPr>
          <w:rFonts w:ascii="Nirmala UI" w:hAnsi="Nirmala UI" w:cs="Nirmala UI"/>
          <w:b/>
          <w:bCs/>
          <w:sz w:val="24"/>
          <w:szCs w:val="24"/>
        </w:rPr>
        <w:t>perfil</w:t>
      </w:r>
      <w:proofErr w:type="spellEnd"/>
      <w:r w:rsidRPr="00C5397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5397E">
        <w:rPr>
          <w:rFonts w:ascii="Nirmala UI" w:hAnsi="Nirmala UI" w:cs="Nirmala UI"/>
          <w:b/>
          <w:bCs/>
          <w:sz w:val="24"/>
          <w:szCs w:val="24"/>
        </w:rPr>
        <w:t>docente</w:t>
      </w:r>
      <w:proofErr w:type="spellEnd"/>
    </w:p>
    <w:p w14:paraId="36435981" w14:textId="77777777" w:rsidR="00643DE8" w:rsidRPr="00C5397E" w:rsidRDefault="00643DE8" w:rsidP="00643DE8">
      <w:pPr>
        <w:pStyle w:val="Prrafodelista"/>
        <w:ind w:left="644"/>
        <w:rPr>
          <w:rFonts w:ascii="Nirmala UI" w:hAnsi="Nirmala UI" w:cs="Nirmala UI"/>
          <w:b/>
          <w:bCs/>
          <w:sz w:val="28"/>
          <w:szCs w:val="28"/>
        </w:rPr>
      </w:pPr>
    </w:p>
    <w:p w14:paraId="577491CE" w14:textId="77777777" w:rsidR="00643DE8" w:rsidRPr="00C5397E" w:rsidRDefault="00643DE8" w:rsidP="00643DE8">
      <w:pPr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El plan de estudios se compone de cuatro etapas de formación progresiva, cada una respaldada por la experiencia y especialización del personal académico que las imparte o tutela.</w:t>
      </w:r>
    </w:p>
    <w:p w14:paraId="75A474AF" w14:textId="208E4BD1" w:rsidR="00643DE8" w:rsidRDefault="00643DE8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0DFF41A2" w14:textId="148599E1" w:rsidR="00134EEA" w:rsidRDefault="00134EEA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646CFECA" w14:textId="77777777" w:rsidR="00134EEA" w:rsidRPr="00C5397E" w:rsidRDefault="00134EEA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5EA97E01" w14:textId="50CD78E9" w:rsidR="00643DE8" w:rsidRPr="00C5397E" w:rsidRDefault="00643DE8" w:rsidP="00643DE8">
      <w:pPr>
        <w:rPr>
          <w:rFonts w:ascii="Nirmala UI" w:hAnsi="Nirmala UI" w:cs="Nirmala UI"/>
          <w:b/>
          <w:bCs/>
        </w:rPr>
      </w:pPr>
      <w:r w:rsidRPr="00C5397E">
        <w:rPr>
          <w:rFonts w:ascii="Nirmala UI" w:hAnsi="Nirmala UI" w:cs="Nirmala UI"/>
          <w:b/>
          <w:bCs/>
        </w:rPr>
        <w:t>3.1 Etapa básica disciplinaria</w:t>
      </w:r>
    </w:p>
    <w:p w14:paraId="35617723" w14:textId="77777777" w:rsidR="00134EEA" w:rsidRDefault="00134EEA" w:rsidP="00643DE8">
      <w:pPr>
        <w:rPr>
          <w:rFonts w:ascii="Nirmala UI" w:hAnsi="Nirmala UI" w:cs="Nirmala UI"/>
        </w:rPr>
      </w:pPr>
    </w:p>
    <w:p w14:paraId="2753C6F4" w14:textId="4477721C" w:rsidR="00643DE8" w:rsidRPr="00C5397E" w:rsidRDefault="00643DE8" w:rsidP="00643DE8">
      <w:pPr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Comprende las asignaturas comunes para todos los estudiantes:</w:t>
      </w:r>
    </w:p>
    <w:p w14:paraId="54044945" w14:textId="77777777" w:rsidR="00643DE8" w:rsidRPr="00134EEA" w:rsidRDefault="00643DE8" w:rsidP="00134EEA">
      <w:pPr>
        <w:pStyle w:val="Prrafodelista"/>
        <w:numPr>
          <w:ilvl w:val="0"/>
          <w:numId w:val="16"/>
        </w:numPr>
        <w:rPr>
          <w:rFonts w:ascii="Nirmala UI" w:hAnsi="Nirmala UI" w:cs="Nirmala UI"/>
          <w:sz w:val="22"/>
          <w:szCs w:val="22"/>
        </w:rPr>
      </w:pPr>
      <w:r w:rsidRPr="00134EEA">
        <w:rPr>
          <w:rFonts w:ascii="Nirmala UI" w:hAnsi="Nirmala UI" w:cs="Nirmala UI"/>
          <w:sz w:val="22"/>
          <w:szCs w:val="22"/>
        </w:rPr>
        <w:t>Biotecnología Avanzada</w:t>
      </w:r>
    </w:p>
    <w:p w14:paraId="437BB29C" w14:textId="7D21D82C" w:rsidR="00643DE8" w:rsidRPr="00134EEA" w:rsidRDefault="00643DE8" w:rsidP="00134EEA">
      <w:pPr>
        <w:pStyle w:val="Prrafodelista"/>
        <w:numPr>
          <w:ilvl w:val="0"/>
          <w:numId w:val="16"/>
        </w:numPr>
        <w:jc w:val="both"/>
        <w:rPr>
          <w:rFonts w:ascii="Nirmala UI" w:hAnsi="Nirmala UI" w:cs="Nirmala UI"/>
        </w:rPr>
      </w:pPr>
      <w:r w:rsidRPr="00134EEA">
        <w:rPr>
          <w:rFonts w:ascii="Nirmala UI" w:hAnsi="Nirmala UI" w:cs="Nirmala UI"/>
          <w:sz w:val="22"/>
          <w:szCs w:val="22"/>
        </w:rPr>
        <w:t xml:space="preserve">Gestión de la </w:t>
      </w:r>
      <w:proofErr w:type="spellStart"/>
      <w:r w:rsidRPr="00134EEA">
        <w:rPr>
          <w:rFonts w:ascii="Nirmala UI" w:hAnsi="Nirmala UI" w:cs="Nirmala UI"/>
          <w:sz w:val="22"/>
          <w:szCs w:val="22"/>
        </w:rPr>
        <w:t>Innovación</w:t>
      </w:r>
      <w:proofErr w:type="spellEnd"/>
      <w:r w:rsidRPr="00134EEA">
        <w:rPr>
          <w:rFonts w:ascii="Nirmala UI" w:hAnsi="Nirmala UI" w:cs="Nirmala UI"/>
          <w:sz w:val="22"/>
          <w:szCs w:val="22"/>
        </w:rPr>
        <w:t xml:space="preserve"> </w:t>
      </w:r>
      <w:proofErr w:type="spellStart"/>
      <w:r w:rsidRPr="00134EEA">
        <w:rPr>
          <w:rFonts w:ascii="Nirmala UI" w:hAnsi="Nirmala UI" w:cs="Nirmala UI"/>
          <w:sz w:val="22"/>
          <w:szCs w:val="22"/>
        </w:rPr>
        <w:t>Biotecnológica</w:t>
      </w:r>
      <w:proofErr w:type="spellEnd"/>
    </w:p>
    <w:p w14:paraId="166F1835" w14:textId="77777777" w:rsidR="00134EEA" w:rsidRPr="00134EEA" w:rsidRDefault="00134EEA" w:rsidP="00134EEA">
      <w:pPr>
        <w:pStyle w:val="Prrafodelista"/>
        <w:jc w:val="both"/>
        <w:rPr>
          <w:rFonts w:ascii="Nirmala UI" w:hAnsi="Nirmala UI" w:cs="Nirmala UI"/>
        </w:rPr>
      </w:pPr>
    </w:p>
    <w:p w14:paraId="7B7FDCA4" w14:textId="77777777" w:rsidR="00643DE8" w:rsidRPr="00C5397E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Correspondencia docente:</w:t>
      </w:r>
    </w:p>
    <w:p w14:paraId="734074D7" w14:textId="783107B0" w:rsidR="00643DE8" w:rsidRPr="00C5397E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 xml:space="preserve">Estas materias son impartidas por investigadores con amplia trayectoria en biotecnología molecular, ingeniería de bioprocesos, innovación tecnológica, propiedad intelectual y vinculación con sectores productivos. </w:t>
      </w:r>
      <w:r w:rsidR="00583014">
        <w:rPr>
          <w:rFonts w:ascii="Nirmala UI" w:hAnsi="Nirmala UI" w:cs="Nirmala UI"/>
        </w:rPr>
        <w:t>Más del 95%</w:t>
      </w:r>
      <w:r w:rsidRPr="00C5397E">
        <w:rPr>
          <w:rFonts w:ascii="Nirmala UI" w:hAnsi="Nirmala UI" w:cs="Nirmala UI"/>
        </w:rPr>
        <w:t xml:space="preserve"> son miembros del SNI (niveles I, II y III) y cuentan con patentes, modelos de utilidad y desarrollos tecnológicos registrados.</w:t>
      </w:r>
    </w:p>
    <w:p w14:paraId="53B0E3D2" w14:textId="77777777" w:rsidR="00643DE8" w:rsidRPr="00C5397E" w:rsidRDefault="00643DE8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4BE204D0" w14:textId="570F11CE" w:rsidR="00643DE8" w:rsidRPr="00C5397E" w:rsidRDefault="00643DE8" w:rsidP="00643DE8">
      <w:pPr>
        <w:rPr>
          <w:rFonts w:ascii="Nirmala UI" w:hAnsi="Nirmala UI" w:cs="Nirmala UI"/>
          <w:b/>
          <w:bCs/>
        </w:rPr>
      </w:pPr>
      <w:r w:rsidRPr="00C5397E">
        <w:rPr>
          <w:rFonts w:ascii="Nirmala UI" w:hAnsi="Nirmala UI" w:cs="Nirmala UI"/>
          <w:b/>
          <w:bCs/>
        </w:rPr>
        <w:t xml:space="preserve">3.2 Etapa </w:t>
      </w:r>
      <w:proofErr w:type="spellStart"/>
      <w:r w:rsidRPr="00C5397E">
        <w:rPr>
          <w:rFonts w:ascii="Nirmala UI" w:hAnsi="Nirmala UI" w:cs="Nirmala UI"/>
          <w:b/>
          <w:bCs/>
        </w:rPr>
        <w:t>especializante</w:t>
      </w:r>
      <w:proofErr w:type="spellEnd"/>
      <w:r w:rsidRPr="00C5397E">
        <w:rPr>
          <w:rFonts w:ascii="Nirmala UI" w:hAnsi="Nirmala UI" w:cs="Nirmala UI"/>
          <w:b/>
          <w:bCs/>
        </w:rPr>
        <w:t xml:space="preserve"> de contenido</w:t>
      </w:r>
    </w:p>
    <w:p w14:paraId="056FDA03" w14:textId="77777777" w:rsidR="00643DE8" w:rsidRPr="00C5397E" w:rsidRDefault="00643DE8" w:rsidP="00643DE8">
      <w:pPr>
        <w:pStyle w:val="Prrafodelista"/>
        <w:ind w:left="704"/>
        <w:jc w:val="both"/>
        <w:rPr>
          <w:rFonts w:ascii="Nirmala UI" w:hAnsi="Nirmala UI" w:cs="Nirmala UI"/>
          <w:sz w:val="24"/>
          <w:szCs w:val="24"/>
        </w:rPr>
      </w:pPr>
    </w:p>
    <w:p w14:paraId="38DF86AA" w14:textId="77777777" w:rsidR="00643DE8" w:rsidRPr="00C5397E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Su propósito es fortalecer el conocimiento específico relacionado con el proyecto de tesis de cada estudiante. Incluye seminarios especializados y seguimiento del comité tutorial.</w:t>
      </w:r>
    </w:p>
    <w:p w14:paraId="723DFF32" w14:textId="77777777" w:rsidR="00643DE8" w:rsidRPr="00C5397E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Correspondencia docente:</w:t>
      </w:r>
    </w:p>
    <w:p w14:paraId="4F742064" w14:textId="23F20EEC" w:rsidR="00643DE8" w:rsidRPr="00C5397E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 xml:space="preserve">El profesorado posee líneas de investigación </w:t>
      </w:r>
      <w:r w:rsidR="00583014">
        <w:rPr>
          <w:rFonts w:ascii="Nirmala UI" w:hAnsi="Nirmala UI" w:cs="Nirmala UI"/>
        </w:rPr>
        <w:t xml:space="preserve">e incidencia </w:t>
      </w:r>
      <w:r w:rsidRPr="00C5397E">
        <w:rPr>
          <w:rFonts w:ascii="Nirmala UI" w:hAnsi="Nirmala UI" w:cs="Nirmala UI"/>
        </w:rPr>
        <w:t>consolidadas, adscritas a las tres opciones terminales del programa. Su experiencia permite brindar acompañamiento científico riguroso, metodológico y ético a los estudiantes.</w:t>
      </w:r>
    </w:p>
    <w:p w14:paraId="1732FE41" w14:textId="77777777" w:rsidR="00643DE8" w:rsidRPr="00C5397E" w:rsidRDefault="00643DE8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163984D8" w14:textId="782AEAB1" w:rsidR="00643DE8" w:rsidRPr="00C5397E" w:rsidRDefault="00643DE8" w:rsidP="00643DE8">
      <w:pPr>
        <w:rPr>
          <w:rFonts w:ascii="Nirmala UI" w:hAnsi="Nirmala UI" w:cs="Nirmala UI"/>
          <w:b/>
          <w:bCs/>
        </w:rPr>
      </w:pPr>
      <w:r w:rsidRPr="00C5397E">
        <w:rPr>
          <w:rFonts w:ascii="Nirmala UI" w:hAnsi="Nirmala UI" w:cs="Nirmala UI"/>
          <w:b/>
          <w:bCs/>
        </w:rPr>
        <w:t xml:space="preserve">3.3 Etapa </w:t>
      </w:r>
      <w:proofErr w:type="spellStart"/>
      <w:r w:rsidRPr="00C5397E">
        <w:rPr>
          <w:rFonts w:ascii="Nirmala UI" w:hAnsi="Nirmala UI" w:cs="Nirmala UI"/>
          <w:b/>
          <w:bCs/>
        </w:rPr>
        <w:t>especializante</w:t>
      </w:r>
      <w:proofErr w:type="spellEnd"/>
      <w:r w:rsidRPr="00C5397E">
        <w:rPr>
          <w:rFonts w:ascii="Nirmala UI" w:hAnsi="Nirmala UI" w:cs="Nirmala UI"/>
          <w:b/>
          <w:bCs/>
        </w:rPr>
        <w:t xml:space="preserve"> de experimentación</w:t>
      </w:r>
    </w:p>
    <w:p w14:paraId="217A86DB" w14:textId="77777777" w:rsidR="00643DE8" w:rsidRPr="00C5397E" w:rsidRDefault="00643DE8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37AA1395" w14:textId="77777777" w:rsidR="00643DE8" w:rsidRPr="00C5397E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Incluye los créditos asociados al desarrollo de la tesis doctoral. La evaluación recae en el comité tutorial y en el director(a) de tesis.</w:t>
      </w:r>
    </w:p>
    <w:p w14:paraId="3B065146" w14:textId="77777777" w:rsidR="00134EEA" w:rsidRDefault="00134EEA" w:rsidP="00643DE8">
      <w:pPr>
        <w:jc w:val="both"/>
        <w:rPr>
          <w:rFonts w:ascii="Nirmala UI" w:hAnsi="Nirmala UI" w:cs="Nirmala UI"/>
        </w:rPr>
      </w:pPr>
    </w:p>
    <w:p w14:paraId="12BE0F0D" w14:textId="3CC3B512" w:rsidR="00643DE8" w:rsidRPr="00C5397E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Correspondencia docente:</w:t>
      </w:r>
    </w:p>
    <w:p w14:paraId="205429FC" w14:textId="77777777" w:rsidR="00643DE8" w:rsidRPr="00C5397E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Los directores de tesis poseen experiencia demostrable en dirección de proyectos financiados (CONAHCYT, sector privado, cooperación internacional), infraestructura de laboratorio, publicaciones Q1/Q2 y experiencia en formación de recursos humanos.</w:t>
      </w:r>
    </w:p>
    <w:p w14:paraId="7905BD6F" w14:textId="77777777" w:rsidR="00643DE8" w:rsidRPr="00C5397E" w:rsidRDefault="00643DE8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752FD8D3" w14:textId="77777777" w:rsidR="00134EEA" w:rsidRDefault="00134EEA" w:rsidP="00643DE8">
      <w:pPr>
        <w:rPr>
          <w:rFonts w:ascii="Nirmala UI" w:hAnsi="Nirmala UI" w:cs="Nirmala UI"/>
          <w:b/>
          <w:bCs/>
        </w:rPr>
      </w:pPr>
    </w:p>
    <w:p w14:paraId="1820A46E" w14:textId="14C2186D" w:rsidR="00643DE8" w:rsidRPr="00C5397E" w:rsidRDefault="00643DE8" w:rsidP="00643DE8">
      <w:pPr>
        <w:rPr>
          <w:rFonts w:ascii="Nirmala UI" w:hAnsi="Nirmala UI" w:cs="Nirmala UI"/>
          <w:b/>
          <w:bCs/>
        </w:rPr>
      </w:pPr>
      <w:r w:rsidRPr="00C5397E">
        <w:rPr>
          <w:rFonts w:ascii="Nirmala UI" w:hAnsi="Nirmala UI" w:cs="Nirmala UI"/>
          <w:b/>
          <w:bCs/>
        </w:rPr>
        <w:t>3.4 Etapa de formación doctoral integral</w:t>
      </w:r>
    </w:p>
    <w:p w14:paraId="1C63752D" w14:textId="77777777" w:rsidR="00643DE8" w:rsidRPr="00C5397E" w:rsidRDefault="00643DE8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3750BF04" w14:textId="1C95BC79" w:rsidR="00643DE8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Incluye 32 créditos académicos en actividades complementarias, donde el estudiante debe realizar al menos tres de las cinco siguientes áreas:</w:t>
      </w:r>
    </w:p>
    <w:p w14:paraId="376C1CF0" w14:textId="77777777" w:rsidR="00134EEA" w:rsidRDefault="00134EEA" w:rsidP="00643DE8">
      <w:pPr>
        <w:jc w:val="both"/>
        <w:rPr>
          <w:rFonts w:ascii="Nirmala UI" w:hAnsi="Nirmala UI" w:cs="Nirmala U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34EEA" w14:paraId="638D751E" w14:textId="77777777" w:rsidTr="00134EEA">
        <w:tc>
          <w:tcPr>
            <w:tcW w:w="4414" w:type="dxa"/>
          </w:tcPr>
          <w:p w14:paraId="20D77407" w14:textId="7ADA1CF4" w:rsidR="00134EEA" w:rsidRDefault="00134EEA" w:rsidP="00134EEA">
            <w:pPr>
              <w:jc w:val="center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Actividad</w:t>
            </w:r>
          </w:p>
        </w:tc>
        <w:tc>
          <w:tcPr>
            <w:tcW w:w="4414" w:type="dxa"/>
          </w:tcPr>
          <w:p w14:paraId="048B000C" w14:textId="62CA02CB" w:rsidR="00134EEA" w:rsidRPr="00134EEA" w:rsidRDefault="00134EEA" w:rsidP="00134EEA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Docentes involucrados</w:t>
            </w:r>
          </w:p>
        </w:tc>
      </w:tr>
      <w:tr w:rsidR="00134EEA" w14:paraId="61911DC8" w14:textId="77777777" w:rsidTr="00134EEA">
        <w:tc>
          <w:tcPr>
            <w:tcW w:w="4414" w:type="dxa"/>
          </w:tcPr>
          <w:p w14:paraId="44D2F8E8" w14:textId="0BF51F48" w:rsidR="00134EEA" w:rsidRDefault="00134EEA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Formación de recursos humanos</w:t>
            </w:r>
          </w:p>
        </w:tc>
        <w:tc>
          <w:tcPr>
            <w:tcW w:w="4414" w:type="dxa"/>
          </w:tcPr>
          <w:p w14:paraId="6CA3C388" w14:textId="7C038A7D" w:rsidR="00134EEA" w:rsidRDefault="00134EEA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Profesores que dirigen tesis, codirigen proyectos o imparten ayudantías a licenciatura/maestría.</w:t>
            </w:r>
          </w:p>
        </w:tc>
      </w:tr>
      <w:tr w:rsidR="00134EEA" w14:paraId="7C5F77F2" w14:textId="77777777" w:rsidTr="00134EEA">
        <w:tc>
          <w:tcPr>
            <w:tcW w:w="4414" w:type="dxa"/>
          </w:tcPr>
          <w:p w14:paraId="173078B8" w14:textId="7DF368B8" w:rsidR="00134EEA" w:rsidRDefault="00134EEA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Propiedad intelectual</w:t>
            </w:r>
          </w:p>
        </w:tc>
        <w:tc>
          <w:tcPr>
            <w:tcW w:w="4414" w:type="dxa"/>
          </w:tcPr>
          <w:p w14:paraId="3993F65F" w14:textId="4092CDC5" w:rsidR="00134EEA" w:rsidRDefault="00134EEA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Investigadores con experiencia en OTT, redacción de patentes, bioprocesos protegidos.</w:t>
            </w:r>
          </w:p>
        </w:tc>
      </w:tr>
      <w:tr w:rsidR="00134EEA" w14:paraId="13739AE9" w14:textId="77777777" w:rsidTr="00134EEA">
        <w:tc>
          <w:tcPr>
            <w:tcW w:w="4414" w:type="dxa"/>
          </w:tcPr>
          <w:p w14:paraId="75896C28" w14:textId="1AD3C3B7" w:rsidR="00134EEA" w:rsidRDefault="00134EEA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Vinculación interinstitucional</w:t>
            </w:r>
          </w:p>
        </w:tc>
        <w:tc>
          <w:tcPr>
            <w:tcW w:w="4414" w:type="dxa"/>
          </w:tcPr>
          <w:p w14:paraId="34073471" w14:textId="25B6A3C0" w:rsidR="00134EEA" w:rsidRDefault="00134EEA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Docentes con redes nacionales/internacionales, participación en estancias y convenios</w:t>
            </w:r>
          </w:p>
        </w:tc>
      </w:tr>
      <w:tr w:rsidR="00134EEA" w14:paraId="6BF27DDF" w14:textId="77777777" w:rsidTr="00134EEA">
        <w:tc>
          <w:tcPr>
            <w:tcW w:w="4414" w:type="dxa"/>
          </w:tcPr>
          <w:p w14:paraId="76D3DE0A" w14:textId="6A941C11" w:rsidR="00134EEA" w:rsidRPr="00C5397E" w:rsidRDefault="00134EEA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Difusión científica</w:t>
            </w:r>
          </w:p>
        </w:tc>
        <w:tc>
          <w:tcPr>
            <w:tcW w:w="4414" w:type="dxa"/>
          </w:tcPr>
          <w:p w14:paraId="4D582600" w14:textId="77777777" w:rsidR="00134EEA" w:rsidRPr="00C5397E" w:rsidRDefault="00134EEA" w:rsidP="00134EE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Profesores con participación en congresos, ferias de ciencia, divulgación.</w:t>
            </w:r>
          </w:p>
          <w:p w14:paraId="38FA0DDC" w14:textId="34789130" w:rsidR="00134EEA" w:rsidRPr="00583014" w:rsidRDefault="00134EEA" w:rsidP="00643DE8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Retribución social (obligatoria con beca nacional)</w:t>
            </w:r>
            <w:r w:rsidRPr="00C5397E">
              <w:rPr>
                <w:rFonts w:ascii="Nirmala UI" w:hAnsi="Nirmala UI" w:cs="Nirmala UI"/>
                <w:sz w:val="24"/>
                <w:szCs w:val="24"/>
              </w:rPr>
              <w:tab/>
              <w:t>Investigadores con trabajo comunitario, talleres, divulgación escolar y acompañamiento técnico a productores.</w:t>
            </w:r>
          </w:p>
        </w:tc>
      </w:tr>
    </w:tbl>
    <w:p w14:paraId="0B2F3EF7" w14:textId="69B627D0" w:rsidR="00643DE8" w:rsidRPr="00C5397E" w:rsidRDefault="00643DE8" w:rsidP="00134EEA">
      <w:pPr>
        <w:jc w:val="both"/>
        <w:rPr>
          <w:rFonts w:ascii="Nirmala UI" w:hAnsi="Nirmala UI" w:cs="Nirmala UI"/>
        </w:rPr>
      </w:pPr>
    </w:p>
    <w:p w14:paraId="599F361D" w14:textId="77777777" w:rsidR="00643DE8" w:rsidRPr="00C5397E" w:rsidRDefault="00643DE8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47E6EF08" w14:textId="2E9307CE" w:rsidR="00643DE8" w:rsidRPr="00C5397E" w:rsidRDefault="00643DE8" w:rsidP="00643DE8">
      <w:pPr>
        <w:rPr>
          <w:rFonts w:ascii="Nirmala UI" w:hAnsi="Nirmala UI" w:cs="Nirmala UI"/>
          <w:b/>
          <w:bCs/>
        </w:rPr>
      </w:pPr>
      <w:r w:rsidRPr="00C5397E">
        <w:rPr>
          <w:rFonts w:ascii="Nirmala UI" w:hAnsi="Nirmala UI" w:cs="Nirmala UI"/>
          <w:b/>
          <w:bCs/>
        </w:rPr>
        <w:t>4. Opciones terminales y líneas de generación de conocimiento (LGAC)</w:t>
      </w:r>
    </w:p>
    <w:p w14:paraId="30218A7F" w14:textId="77777777" w:rsidR="00643DE8" w:rsidRPr="00C5397E" w:rsidRDefault="00643DE8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016CCF1E" w14:textId="115938BB" w:rsidR="00643DE8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El programa se organiza en tres líneas de generación y aplicación del conocimiento, que orientan los proyectos de tesis y definen el perfil docente requerido: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5397E" w14:paraId="0135882B" w14:textId="77777777" w:rsidTr="00C5397E">
        <w:tc>
          <w:tcPr>
            <w:tcW w:w="2942" w:type="dxa"/>
          </w:tcPr>
          <w:p w14:paraId="235B4DF1" w14:textId="1E868AFC" w:rsidR="00C5397E" w:rsidRDefault="00C5397E" w:rsidP="00C5397E">
            <w:pPr>
              <w:jc w:val="center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Opción Terminal / LGAC</w:t>
            </w:r>
          </w:p>
        </w:tc>
        <w:tc>
          <w:tcPr>
            <w:tcW w:w="2943" w:type="dxa"/>
          </w:tcPr>
          <w:p w14:paraId="00C9E228" w14:textId="314B8F1B" w:rsidR="00C5397E" w:rsidRDefault="00C5397E" w:rsidP="00C5397E">
            <w:pPr>
              <w:jc w:val="center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Enfoque</w:t>
            </w:r>
          </w:p>
        </w:tc>
        <w:tc>
          <w:tcPr>
            <w:tcW w:w="2943" w:type="dxa"/>
          </w:tcPr>
          <w:p w14:paraId="5BF5D692" w14:textId="07CC1B63" w:rsidR="00C5397E" w:rsidRDefault="00C5397E" w:rsidP="00C5397E">
            <w:pPr>
              <w:jc w:val="center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Perfil del profesorado</w:t>
            </w:r>
          </w:p>
        </w:tc>
      </w:tr>
      <w:tr w:rsidR="00C5397E" w14:paraId="07C0BFC6" w14:textId="77777777" w:rsidTr="00C5397E">
        <w:tc>
          <w:tcPr>
            <w:tcW w:w="2942" w:type="dxa"/>
          </w:tcPr>
          <w:p w14:paraId="7DB5927D" w14:textId="37E0FEA2" w:rsidR="00C5397E" w:rsidRDefault="00C5397E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Biotecnología Agroalimentaria</w:t>
            </w:r>
          </w:p>
        </w:tc>
        <w:tc>
          <w:tcPr>
            <w:tcW w:w="2943" w:type="dxa"/>
          </w:tcPr>
          <w:p w14:paraId="39C1C072" w14:textId="0716957C" w:rsidR="00C5397E" w:rsidRDefault="00C5397E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 xml:space="preserve">Mejoramiento de alimentos, biofertilizantes, microbiología agrícola, </w:t>
            </w:r>
            <w:proofErr w:type="spellStart"/>
            <w:r w:rsidRPr="00C5397E">
              <w:rPr>
                <w:rFonts w:ascii="Nirmala UI" w:hAnsi="Nirmala UI" w:cs="Nirmala UI"/>
                <w:sz w:val="24"/>
                <w:szCs w:val="24"/>
              </w:rPr>
              <w:t>poscosecha</w:t>
            </w:r>
            <w:proofErr w:type="spellEnd"/>
          </w:p>
        </w:tc>
        <w:tc>
          <w:tcPr>
            <w:tcW w:w="2943" w:type="dxa"/>
          </w:tcPr>
          <w:p w14:paraId="59009E2B" w14:textId="468BB661" w:rsidR="00C5397E" w:rsidRDefault="00C5397E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Investigadores en biotecnología vegetal, ingeniería en alimentos, microbiología de suelos.</w:t>
            </w:r>
          </w:p>
        </w:tc>
      </w:tr>
      <w:tr w:rsidR="00C5397E" w14:paraId="67CC5983" w14:textId="77777777" w:rsidTr="00C5397E">
        <w:tc>
          <w:tcPr>
            <w:tcW w:w="2942" w:type="dxa"/>
          </w:tcPr>
          <w:p w14:paraId="0889D4D7" w14:textId="3B4DAD14" w:rsidR="00C5397E" w:rsidRDefault="00C5397E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lastRenderedPageBreak/>
              <w:t>Biotecnología Aplicada a la Salud</w:t>
            </w:r>
            <w:r w:rsidRPr="00C5397E">
              <w:rPr>
                <w:rFonts w:ascii="Nirmala UI" w:hAnsi="Nirmala UI" w:cs="Nirmala UI"/>
                <w:sz w:val="24"/>
                <w:szCs w:val="24"/>
              </w:rPr>
              <w:tab/>
            </w:r>
          </w:p>
        </w:tc>
        <w:tc>
          <w:tcPr>
            <w:tcW w:w="2943" w:type="dxa"/>
          </w:tcPr>
          <w:p w14:paraId="2AB701A4" w14:textId="696C96DF" w:rsidR="00C5397E" w:rsidRDefault="00C5397E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Diagnóstico molecular, terapias biomédicas, bioprocesos farmacéuticos</w:t>
            </w:r>
          </w:p>
        </w:tc>
        <w:tc>
          <w:tcPr>
            <w:tcW w:w="2943" w:type="dxa"/>
          </w:tcPr>
          <w:p w14:paraId="49C6B9A2" w14:textId="1C947B78" w:rsidR="00C5397E" w:rsidRDefault="00C5397E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 xml:space="preserve">Profesores con formación en biomedicina, inmunología, </w:t>
            </w:r>
            <w:proofErr w:type="spellStart"/>
            <w:r w:rsidRPr="00C5397E">
              <w:rPr>
                <w:rFonts w:ascii="Nirmala UI" w:hAnsi="Nirmala UI" w:cs="Nirmala UI"/>
                <w:sz w:val="24"/>
                <w:szCs w:val="24"/>
              </w:rPr>
              <w:t>farmacobiotecnología</w:t>
            </w:r>
            <w:proofErr w:type="spellEnd"/>
            <w:r w:rsidRPr="00C5397E">
              <w:rPr>
                <w:rFonts w:ascii="Nirmala UI" w:hAnsi="Nirmala UI" w:cs="Nirmala UI"/>
                <w:sz w:val="24"/>
                <w:szCs w:val="24"/>
              </w:rPr>
              <w:t>, regulación sanitaria.</w:t>
            </w:r>
          </w:p>
        </w:tc>
      </w:tr>
      <w:tr w:rsidR="00C5397E" w14:paraId="0D4B6306" w14:textId="77777777" w:rsidTr="00C5397E">
        <w:tc>
          <w:tcPr>
            <w:tcW w:w="2942" w:type="dxa"/>
          </w:tcPr>
          <w:p w14:paraId="2592D261" w14:textId="62FB436C" w:rsidR="00C5397E" w:rsidRDefault="00C5397E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Biotecnología Industrial y Procesos Ambientales</w:t>
            </w:r>
          </w:p>
        </w:tc>
        <w:tc>
          <w:tcPr>
            <w:tcW w:w="2943" w:type="dxa"/>
          </w:tcPr>
          <w:p w14:paraId="0C9D9A46" w14:textId="0DBA0AB6" w:rsidR="00C5397E" w:rsidRDefault="00C5397E" w:rsidP="00643DE8">
            <w:pPr>
              <w:jc w:val="both"/>
              <w:rPr>
                <w:rFonts w:ascii="Nirmala UI" w:hAnsi="Nirmala UI" w:cs="Nirmala UI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Bioprocesos, biorremediación, aprovechamiento de residuos, bioenergía</w:t>
            </w:r>
          </w:p>
        </w:tc>
        <w:tc>
          <w:tcPr>
            <w:tcW w:w="2943" w:type="dxa"/>
          </w:tcPr>
          <w:p w14:paraId="15342A67" w14:textId="18EB6332" w:rsidR="00C5397E" w:rsidRPr="00C5397E" w:rsidRDefault="00C5397E" w:rsidP="00643DE8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C5397E">
              <w:rPr>
                <w:rFonts w:ascii="Nirmala UI" w:hAnsi="Nirmala UI" w:cs="Nirmala UI"/>
                <w:sz w:val="24"/>
                <w:szCs w:val="24"/>
              </w:rPr>
              <w:t>Docentes en ingeniería bioquímica, procesos industriales, sustentabilidad, economía circular.</w:t>
            </w:r>
          </w:p>
        </w:tc>
      </w:tr>
    </w:tbl>
    <w:p w14:paraId="26E220B2" w14:textId="77777777" w:rsidR="00C5397E" w:rsidRPr="00C5397E" w:rsidRDefault="00C5397E" w:rsidP="00643DE8">
      <w:pPr>
        <w:jc w:val="both"/>
        <w:rPr>
          <w:rFonts w:ascii="Nirmala UI" w:hAnsi="Nirmala UI" w:cs="Nirmala UI"/>
        </w:rPr>
      </w:pPr>
    </w:p>
    <w:p w14:paraId="33FCE426" w14:textId="0C7D44C3" w:rsidR="00643DE8" w:rsidRPr="00134EEA" w:rsidRDefault="00643DE8" w:rsidP="00C5397E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ab/>
      </w:r>
      <w:r w:rsidRPr="00C5397E">
        <w:rPr>
          <w:rFonts w:ascii="Nirmala UI" w:hAnsi="Nirmala UI" w:cs="Nirmala UI"/>
        </w:rPr>
        <w:tab/>
      </w:r>
      <w:r w:rsidRPr="00C5397E">
        <w:rPr>
          <w:rFonts w:ascii="Nirmala UI" w:hAnsi="Nirmala UI" w:cs="Nirmala UI"/>
        </w:rPr>
        <w:tab/>
      </w:r>
      <w:r w:rsidRPr="00C5397E">
        <w:rPr>
          <w:rFonts w:ascii="Nirmala UI" w:hAnsi="Nirmala UI" w:cs="Nirmala UI"/>
        </w:rPr>
        <w:tab/>
      </w:r>
    </w:p>
    <w:p w14:paraId="4F42C275" w14:textId="77777777" w:rsidR="00612542" w:rsidRPr="00612542" w:rsidRDefault="00612542" w:rsidP="00612542">
      <w:pPr>
        <w:jc w:val="both"/>
        <w:rPr>
          <w:rFonts w:ascii="Nirmala UI" w:hAnsi="Nirmala UI" w:cs="Nirmala UI"/>
        </w:rPr>
      </w:pPr>
      <w:r w:rsidRPr="00612542">
        <w:rPr>
          <w:rFonts w:ascii="Nirmala UI" w:hAnsi="Nirmala UI" w:cs="Nirmala UI"/>
        </w:rPr>
        <w:t>El objetivo del programa es formar recursos humanos de alto nivel, con una sólida base científica, tecnológica y ética, capaces de aplicar y transmitir conocimientos actuales en las líneas de Biotecnología Agroalimentaria, Biotecnología Industrial y Procesos Ambientales, y Biotecnología Aplicada a la Salud. El plan de estudios está estructurado para favorecer la formación científica avanzada, la innovación tecnológica y la generación de conocimientos de frontera. Las actividades de investigación, docencia y divulgación se articulan para fortalecer competencias analíticas, experimentales y de liderazgo científico.</w:t>
      </w:r>
    </w:p>
    <w:p w14:paraId="4F2AEB54" w14:textId="77777777" w:rsidR="00612542" w:rsidRPr="00612542" w:rsidRDefault="00612542" w:rsidP="00612542">
      <w:pPr>
        <w:jc w:val="both"/>
        <w:rPr>
          <w:rFonts w:ascii="Nirmala UI" w:hAnsi="Nirmala UI" w:cs="Nirmala UI"/>
        </w:rPr>
      </w:pPr>
      <w:r w:rsidRPr="00612542">
        <w:rPr>
          <w:rFonts w:ascii="Nirmala UI" w:hAnsi="Nirmala UI" w:cs="Nirmala UI"/>
        </w:rPr>
        <w:t>El perfil de ingreso, que contempla aspirantes con grado de maestría en áreas afines y experiencia en investigación básica o aplicada, asegura que las y los estudiantes cuenten con las bases necesarias para el aprovechamiento de un programa de posgrado de alto nivel. Por su parte, el perfil de egreso establece que las y los doctores en Innovación Biotecnológica poseerán una formación sólida para generar y aplicar conocimiento innovador con responsabilidad social, así como competencias en gestión y dirección de proyectos, formación de recursos humanos y aprendizaje autodidacta. Esta progresión evidencia la congruencia entre los conocimientos de entrada, los objetivos formativos y las competencias adquiridas al egresar.</w:t>
      </w:r>
    </w:p>
    <w:p w14:paraId="3C92D3C7" w14:textId="77777777" w:rsidR="00612542" w:rsidRPr="00612542" w:rsidRDefault="00612542" w:rsidP="00612542">
      <w:pPr>
        <w:jc w:val="both"/>
        <w:rPr>
          <w:rFonts w:ascii="Nirmala UI" w:hAnsi="Nirmala UI" w:cs="Nirmala UI"/>
        </w:rPr>
      </w:pPr>
      <w:r w:rsidRPr="00612542">
        <w:rPr>
          <w:rFonts w:ascii="Nirmala UI" w:hAnsi="Nirmala UI" w:cs="Nirmala UI"/>
        </w:rPr>
        <w:t>El profesorado adscrito al programa cuenta con grado de doctorado, experiencia en investigación científica y tecnológica, y participación activa en proyectos con impacto nacional e internacional. Sus líneas de trabajo se alinean directamente con las áreas del programa, lo que garantiza una formación vinculada a la investigación de frontera. La diversidad de perfiles —investigadores, tecnólogos y expertos en innovación— enriquece el proceso formativo, promoviendo la interdisciplinariedad y la transferencia del conocimiento.</w:t>
      </w:r>
    </w:p>
    <w:p w14:paraId="67D34019" w14:textId="77777777" w:rsidR="00612542" w:rsidRPr="00612542" w:rsidRDefault="00612542" w:rsidP="00612542">
      <w:pPr>
        <w:jc w:val="both"/>
        <w:rPr>
          <w:rFonts w:ascii="Nirmala UI" w:hAnsi="Nirmala UI" w:cs="Nirmala UI"/>
        </w:rPr>
      </w:pPr>
      <w:r w:rsidRPr="00612542">
        <w:rPr>
          <w:rFonts w:ascii="Nirmala UI" w:hAnsi="Nirmala UI" w:cs="Nirmala UI"/>
        </w:rPr>
        <w:lastRenderedPageBreak/>
        <w:t>El programa mantiene congruencia con los temas prioritarios definidos en la política científica y tecnológica del país, así como con la Agenda Nacional de Innovación y los Objetivos de Desarrollo Sostenible. Sus líneas de generación y aplicación del conocimiento atienden problemáticas relacionadas con la seguridad alimentaria, la sustentabilidad ambiental, la salud pública y el aprovechamiento racional de los recursos naturales. En este sentido, el doctorado contribuye al fortalecimiento del ecosistema de innovación biotecnológica nacional y regional, fomentando la formación de investigadores capaces de diseñar soluciones a problemas estratégicos del país.</w:t>
      </w:r>
    </w:p>
    <w:p w14:paraId="2E4EF1E0" w14:textId="77777777" w:rsidR="00612542" w:rsidRPr="00612542" w:rsidRDefault="00612542" w:rsidP="00612542">
      <w:pPr>
        <w:jc w:val="both"/>
        <w:rPr>
          <w:rFonts w:ascii="Nirmala UI" w:hAnsi="Nirmala UI" w:cs="Nirmala UI"/>
        </w:rPr>
      </w:pPr>
      <w:r w:rsidRPr="00612542">
        <w:rPr>
          <w:rFonts w:ascii="Nirmala UI" w:hAnsi="Nirmala UI" w:cs="Nirmala UI"/>
        </w:rPr>
        <w:t>En el contexto de la oferta educativa nacional y regional, el Doctorado en Ciencias en Innovación Biotecnológica se distingue por su enfoque en la aplicación práctica y la transferencia de resultados de investigación hacia los sectores productivos y sociales. En la región occidente, caracterizada por su vocación agroindustrial y biotecnológica, el programa complementa la oferta existente al impulsar una formación orientada a la innovación y al emprendimiento tecnológico.</w:t>
      </w:r>
    </w:p>
    <w:p w14:paraId="35DE335E" w14:textId="25A1DC58" w:rsidR="00612542" w:rsidRPr="00612542" w:rsidRDefault="00612542" w:rsidP="00612542">
      <w:pPr>
        <w:jc w:val="both"/>
        <w:rPr>
          <w:rFonts w:ascii="Nirmala UI" w:hAnsi="Nirmala UI" w:cs="Nirmala UI"/>
        </w:rPr>
      </w:pPr>
      <w:r w:rsidRPr="00612542">
        <w:rPr>
          <w:rFonts w:ascii="Nirmala UI" w:hAnsi="Nirmala UI" w:cs="Nirmala UI"/>
        </w:rPr>
        <w:t>En conjunto, la coherencia entre el plan de estudios, los perfiles de ingreso y egreso, el perfil del profesorado, los temas prioritarios y la oferta educativa regional posiciona al programa como un referente de formación de capital humano altamente especializado. El Doctorado en Ciencias en Innovación Biotecnológica consolida una propuesta académica pertinente, actual y con impacto científico y social, contribuyendo de manera significativa al desarrollo sustentable y a la soberanía tecnológica del país.</w:t>
      </w:r>
    </w:p>
    <w:p w14:paraId="588F8E33" w14:textId="77777777" w:rsidR="00612542" w:rsidRDefault="00612542" w:rsidP="00643DE8">
      <w:pPr>
        <w:rPr>
          <w:rFonts w:ascii="Nirmala UI" w:hAnsi="Nirmala UI" w:cs="Nirmala UI"/>
          <w:b/>
          <w:bCs/>
        </w:rPr>
      </w:pPr>
    </w:p>
    <w:p w14:paraId="741E1E5F" w14:textId="28657D95" w:rsidR="00643DE8" w:rsidRPr="00C5397E" w:rsidRDefault="00643DE8" w:rsidP="00643DE8">
      <w:pPr>
        <w:rPr>
          <w:rFonts w:ascii="Nirmala UI" w:hAnsi="Nirmala UI" w:cs="Nirmala UI"/>
          <w:b/>
          <w:bCs/>
        </w:rPr>
      </w:pPr>
      <w:r w:rsidRPr="00C5397E">
        <w:rPr>
          <w:rFonts w:ascii="Nirmala UI" w:hAnsi="Nirmala UI" w:cs="Nirmala UI"/>
          <w:b/>
          <w:bCs/>
        </w:rPr>
        <w:t>5. Conclusión</w:t>
      </w:r>
    </w:p>
    <w:p w14:paraId="5292582F" w14:textId="77777777" w:rsidR="00643DE8" w:rsidRPr="00C5397E" w:rsidRDefault="00643DE8" w:rsidP="00643DE8">
      <w:pPr>
        <w:rPr>
          <w:rFonts w:ascii="Nirmala UI" w:hAnsi="Nirmala UI" w:cs="Nirmala UI"/>
          <w:b/>
          <w:bCs/>
          <w:sz w:val="28"/>
          <w:szCs w:val="28"/>
        </w:rPr>
      </w:pPr>
    </w:p>
    <w:p w14:paraId="42800F62" w14:textId="77777777" w:rsidR="00643DE8" w:rsidRPr="00C5397E" w:rsidRDefault="00643DE8" w:rsidP="00643DE8">
      <w:pPr>
        <w:jc w:val="both"/>
        <w:rPr>
          <w:rFonts w:ascii="Nirmala UI" w:hAnsi="Nirmala UI" w:cs="Nirmala UI"/>
        </w:rPr>
      </w:pPr>
      <w:r w:rsidRPr="00C5397E">
        <w:rPr>
          <w:rFonts w:ascii="Nirmala UI" w:hAnsi="Nirmala UI" w:cs="Nirmala UI"/>
        </w:rPr>
        <w:t>La estructura curricular, los objetivos del programa y las opciones terminales guardan una coherencia directa con el perfil académico, científico y profesional del personal docente. La planta académica no sólo cumple con los requisitos de formación y productividad científica, sino que contribuye activamente a la innovación, transferencia tecnológica, impacto social y formación de nuevos investigadores.</w:t>
      </w:r>
    </w:p>
    <w:p w14:paraId="17181664" w14:textId="77777777" w:rsidR="00D055F5" w:rsidRPr="00C5397E" w:rsidRDefault="00D055F5" w:rsidP="007E2AC8">
      <w:pPr>
        <w:rPr>
          <w:rFonts w:ascii="Nirmala UI" w:hAnsi="Nirmala UI" w:cs="Nirmala UI"/>
        </w:rPr>
      </w:pPr>
    </w:p>
    <w:sectPr w:rsidR="00D055F5" w:rsidRPr="00C5397E" w:rsidSect="00A73D6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02CD" w14:textId="77777777" w:rsidR="008C0FE7" w:rsidRDefault="008C0FE7" w:rsidP="00A73D65">
      <w:r>
        <w:separator/>
      </w:r>
    </w:p>
  </w:endnote>
  <w:endnote w:type="continuationSeparator" w:id="0">
    <w:p w14:paraId="06F092A2" w14:textId="77777777" w:rsidR="008C0FE7" w:rsidRDefault="008C0FE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E6C3" w14:textId="77777777" w:rsidR="008C0FE7" w:rsidRDefault="008C0FE7" w:rsidP="00A73D65">
      <w:r>
        <w:separator/>
      </w:r>
    </w:p>
  </w:footnote>
  <w:footnote w:type="continuationSeparator" w:id="0">
    <w:p w14:paraId="01466114" w14:textId="77777777" w:rsidR="008C0FE7" w:rsidRDefault="008C0FE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C72"/>
    <w:multiLevelType w:val="multilevel"/>
    <w:tmpl w:val="AA703E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4" w15:restartNumberingAfterBreak="0">
    <w:nsid w:val="772344D7"/>
    <w:multiLevelType w:val="hybridMultilevel"/>
    <w:tmpl w:val="3E70B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75B93"/>
    <w:multiLevelType w:val="hybridMultilevel"/>
    <w:tmpl w:val="D0664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  <w:num w:numId="14">
    <w:abstractNumId w:val="11"/>
  </w:num>
  <w:num w:numId="15">
    <w:abstractNumId w:val="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60F0A"/>
    <w:rsid w:val="000B284F"/>
    <w:rsid w:val="00134EEA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82E02"/>
    <w:rsid w:val="00583014"/>
    <w:rsid w:val="005A1743"/>
    <w:rsid w:val="005C1A7C"/>
    <w:rsid w:val="005D14D4"/>
    <w:rsid w:val="005F3347"/>
    <w:rsid w:val="00612542"/>
    <w:rsid w:val="00626EE3"/>
    <w:rsid w:val="00631824"/>
    <w:rsid w:val="006322C1"/>
    <w:rsid w:val="00643DE8"/>
    <w:rsid w:val="0066676F"/>
    <w:rsid w:val="0067208B"/>
    <w:rsid w:val="00681882"/>
    <w:rsid w:val="006A0DFE"/>
    <w:rsid w:val="006C0425"/>
    <w:rsid w:val="006C16F5"/>
    <w:rsid w:val="006C3B4E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2AC8"/>
    <w:rsid w:val="007E5888"/>
    <w:rsid w:val="00831EE7"/>
    <w:rsid w:val="00834146"/>
    <w:rsid w:val="00847993"/>
    <w:rsid w:val="008C0FE7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00F5A"/>
    <w:rsid w:val="00B21938"/>
    <w:rsid w:val="00B541BC"/>
    <w:rsid w:val="00B67AB0"/>
    <w:rsid w:val="00B72D65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5397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10D03"/>
    <w:rsid w:val="00F24915"/>
    <w:rsid w:val="00F26829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1391</Words>
  <Characters>7654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Erika Nahomy Marino Marmolejo</cp:lastModifiedBy>
  <cp:revision>8</cp:revision>
  <dcterms:created xsi:type="dcterms:W3CDTF">2025-11-06T20:05:00Z</dcterms:created>
  <dcterms:modified xsi:type="dcterms:W3CDTF">2025-11-07T18:09:00Z</dcterms:modified>
</cp:coreProperties>
</file>