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2278" w14:textId="77777777" w:rsidR="00596784" w:rsidRPr="00596784" w:rsidRDefault="00596784" w:rsidP="00596784">
      <w:pPr>
        <w:spacing w:before="100" w:beforeAutospacing="1" w:after="100" w:afterAutospacing="1"/>
        <w:jc w:val="center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Idoneidad entre el Perfil de Ingreso, el Proceso de Selección y el Plan de Estudios del Doctorado en Ciencias en Innovación Biotecnológica</w:t>
      </w:r>
    </w:p>
    <w:p w14:paraId="795E4648" w14:textId="77777777" w:rsidR="00596784" w:rsidRPr="00596784" w:rsidRDefault="00596784" w:rsidP="00596784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1. Introducción</w:t>
      </w:r>
    </w:p>
    <w:p w14:paraId="30BB3F8E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Doctorado en Ciencias en Innovación Biotecnológica del Centro de Investigación y Asistencia en Tecnología y Diseño del Estado de Jalisco (CIATEJ) constituye un programa de formación científica de alto nivel, orientado a la generación y aplicación del conocimiento en los campos de la biotecnología agroalimentaria, industrial, ambiental y aplicada a la salud. Su diseño académico responde a la necesidad de consolidar un capital humano altamente especializado capaz de desarrollar soluciones innovadoras ante los retos nacionales en materia de sustentabilidad, salud pública, producción alimentaria y aprovechamiento biotecnológico de los recursos naturales.</w:t>
      </w:r>
    </w:p>
    <w:p w14:paraId="047E4E7D" w14:textId="6C5E8144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La congruencia entre el perfil de ingreso, el proceso de selección y la estructura curricular garantiza la pertinencia del programa, al tiempo que asegura que las trayectorias formativas se desarrollen de manera equitativa, incluyente y con mecanismos de acompañamiento que previenen el abandono escolar.</w:t>
      </w:r>
    </w:p>
    <w:p w14:paraId="7C95B2C0" w14:textId="77777777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2. Perfil de ingreso y su correspondencia con los objetivos del programa</w:t>
      </w:r>
    </w:p>
    <w:p w14:paraId="15F76970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perfil de ingreso establece que las y los aspirantes deben contar con estudios de maestría en áreas afines a la biotecnología —agricultura, salud, medio ambiente, industria alimentaria o disciplinas equivalentes—, así como experiencia comprobable en investigación básica o aplicada. Se privilegia el desarrollo de competencias analíticas, pensamiento crítico, habilidades de comunicación oral y escrita en español e inglés, capacidad de trabajo colaborativo, iniciativa y compromiso ético.</w:t>
      </w:r>
    </w:p>
    <w:p w14:paraId="4F94A090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Este perfil se articula estrechamente con el objetivo general del doctorado, orientado a formar investigadores e investigadoras capaces de generar conocimiento de frontera y aplicarlo en la resolución de problemas nacionales. La exigencia de contar con experiencia previa en investigación asegura que el estudiantado posea una base metodológica sólida que permita su rápida incorporación a proyectos de alta complejidad científica.</w:t>
      </w:r>
    </w:p>
    <w:p w14:paraId="2AA5C9BA" w14:textId="0091F688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lastRenderedPageBreak/>
        <w:t>Asimismo, el énfasis en las habilidades comunicativas y de pensamiento crítico responde a la naturaleza multidisciplinaria de la biotecnología y a la necesidad de vincular el quehacer científico con sectores productivos y sociales diversos.</w:t>
      </w:r>
    </w:p>
    <w:p w14:paraId="3538AFCD" w14:textId="77777777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3. Proceso de selección: mecanismos de equidad y rigor académico</w:t>
      </w:r>
    </w:p>
    <w:p w14:paraId="5ABD0D09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proceso de selección se desarrolla en varias etapas diseñadas para garantizar la idoneidad académica y la equidad en el acceso. Se inicia con una evaluación curricular, en la que se revisa la trayectoria académica, publicaciones, experiencia profesional y participación en proyectos de investigación. Posteriormente, las y los aspirantes presentan exámenes de conocimientos, pruebas de dominio del idioma inglés (TOEFL ITP, mínimo 450 puntos) y una evaluación psicopedagógica y de competencias investigativas.</w:t>
      </w:r>
    </w:p>
    <w:p w14:paraId="21A9E9A3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Una fase clave es la entrevista con el comité académico, en la que se valora la coherencia entre los intereses de investigación del aspirante y las líneas de generación y aplicación del conocimiento del CIATEJ. Este diálogo permite detectar fortalezas y necesidades formativas, así como establecer estrategias de acompañamiento individual.</w:t>
      </w:r>
    </w:p>
    <w:p w14:paraId="355FF478" w14:textId="7AAB7760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Para fortalecer la equidad, el programa adopta un enfoque de inclusión que valora la diversidad de trayectorias y contextos socioeconómicos. Se fomenta la participación de aspirantes provenientes de distintas regiones del país, ofreciendo orientación sobre becas, apoyos de movilidad y modalidades de ingreso condicionadas que permiten nivelar las competencias académicas cuando se identifican brechas específicas.</w:t>
      </w:r>
    </w:p>
    <w:p w14:paraId="3D326175" w14:textId="77777777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4. Estructura curricular y su alineación con el perfil de ingreso</w:t>
      </w:r>
    </w:p>
    <w:p w14:paraId="50D19261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plan de estudios se organiza en cuatro semestres e integra asignaturas teóricas, prácticas y de investigación que cubren los principales ámbitos de la biotecnología aplicada: agroalimentaria, industrial, ambiental y de la salud. La estructura curricular combina cursos obligatorios con optativos y seminarios de investigación, favoreciendo la flexibilidad y la personalización del aprendizaje.</w:t>
      </w:r>
    </w:p>
    <w:p w14:paraId="12E97B04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 xml:space="preserve">Entre las asignaturas troncales destacan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>Bioingeniería y Bioprocesos</w:t>
      </w:r>
      <w:r w:rsidRPr="00596784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>Biología Molecular para Ciencias Ambientales</w:t>
      </w:r>
      <w:r w:rsidRPr="00596784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>Fundamentos de Biotecnología Industrial</w:t>
      </w:r>
      <w:r w:rsidRPr="00596784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>Biotecnología Ambiental Avanzada</w:t>
      </w:r>
      <w:r w:rsidRPr="00596784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>Patogénesis Molecular</w:t>
      </w:r>
      <w:r w:rsidRPr="00596784">
        <w:rPr>
          <w:rFonts w:ascii="Nirmala UI" w:eastAsia="Times New Roman" w:hAnsi="Nirmala UI" w:cs="Nirmala UI"/>
          <w:lang w:val="es-MX" w:eastAsia="es-MX"/>
        </w:rPr>
        <w:t xml:space="preserve"> y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t xml:space="preserve">Escritura de Artículos </w:t>
      </w:r>
      <w:r w:rsidRPr="00596784">
        <w:rPr>
          <w:rFonts w:ascii="Nirmala UI" w:eastAsia="Times New Roman" w:hAnsi="Nirmala UI" w:cs="Nirmala UI"/>
          <w:i/>
          <w:iCs/>
          <w:lang w:val="es-MX" w:eastAsia="es-MX"/>
        </w:rPr>
        <w:lastRenderedPageBreak/>
        <w:t>Científicos</w:t>
      </w:r>
      <w:r w:rsidRPr="00596784">
        <w:rPr>
          <w:rFonts w:ascii="Nirmala UI" w:eastAsia="Times New Roman" w:hAnsi="Nirmala UI" w:cs="Nirmala UI"/>
          <w:lang w:val="es-MX" w:eastAsia="es-MX"/>
        </w:rPr>
        <w:t>. Todas ellas fortalecen la capacidad analítica, experimental y de comunicación científica del estudiantado.</w:t>
      </w:r>
    </w:p>
    <w:p w14:paraId="69B7E53D" w14:textId="1F0F9204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uso de metodologías activas —como el aprendizaje basado en problemas (ABP), los proyectos de investigación aplicada y la vinculación con sectores productivos— asegura que el perfil de ingreso se potencie en un entorno que exige autonomía intelectual y pensamiento crítico. La progresión académica se refuerza con evaluaciones integrales que incluyen seminarios, publicaciones científicas, presentaciones en congresos y la defensa de tesis doctoral.</w:t>
      </w:r>
    </w:p>
    <w:p w14:paraId="4EE242B4" w14:textId="77777777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5. Estrategias para la reducción de brechas de desigualdad</w:t>
      </w:r>
    </w:p>
    <w:p w14:paraId="5925E2A8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CIATEJ, en congruencia con sus políticas institucionales y la certificación en igualdad laboral y no discriminación (NOM-R-025-SCFI-2015, nivel oro), ha incorporado diversas acciones para promover la equidad en el acceso y permanencia en el programa. Entre las más relevantes se encuentran:</w:t>
      </w:r>
    </w:p>
    <w:p w14:paraId="1D753D1F" w14:textId="77777777" w:rsidR="00596784" w:rsidRPr="00596784" w:rsidRDefault="00596784" w:rsidP="0059678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Programas de orientación vocacional y tutoría académica temprana, dirigidos a estudiantes provenientes de instituciones con menor infraestructura científica.</w:t>
      </w:r>
    </w:p>
    <w:p w14:paraId="35B68BEE" w14:textId="77777777" w:rsidR="00596784" w:rsidRPr="00596784" w:rsidRDefault="00596784" w:rsidP="0059678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Flexibilización de procesos administrativos y académicos para aspirantes en situación de vulnerabilidad socioeconómica o geográfica.</w:t>
      </w:r>
    </w:p>
    <w:p w14:paraId="3722EFBF" w14:textId="77777777" w:rsidR="00596784" w:rsidRPr="00596784" w:rsidRDefault="00596784" w:rsidP="0059678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Difusión de convocatorias con perspectiva de género y lenguaje incluyente, que promueven la participación equitativa de mujeres y hombres en ciencia y tecnología.</w:t>
      </w:r>
    </w:p>
    <w:p w14:paraId="52543466" w14:textId="77777777" w:rsidR="00596784" w:rsidRPr="00596784" w:rsidRDefault="00596784" w:rsidP="0059678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Apoyo institucional para gestión de becas nacionales y extranjeras, especialmente aquellas dirigidas a estudiantes indígenas, madres o padres de familia y personas con discapacidad.</w:t>
      </w:r>
    </w:p>
    <w:p w14:paraId="036B07DF" w14:textId="77777777" w:rsidR="00596784" w:rsidRPr="00596784" w:rsidRDefault="00596784" w:rsidP="0059678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Adaptación de espacios y servicios de accesibilidad universal en laboratorios, aulas y plataformas digitales.</w:t>
      </w:r>
    </w:p>
    <w:p w14:paraId="3C19AF2F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Estas estrategias contribuyen a disminuir la brecha de representación en áreas STEM, fortaleciendo la diversidad en el ecosistema científico del programa.</w:t>
      </w:r>
    </w:p>
    <w:p w14:paraId="40626841" w14:textId="5A338FB5" w:rsidR="00596784" w:rsidRDefault="00596784" w:rsidP="00596784">
      <w:pPr>
        <w:jc w:val="both"/>
        <w:rPr>
          <w:rFonts w:ascii="Nirmala UI" w:eastAsia="Times New Roman" w:hAnsi="Nirmala UI" w:cs="Nirmala UI"/>
          <w:lang w:val="es-MX" w:eastAsia="es-MX"/>
        </w:rPr>
      </w:pPr>
    </w:p>
    <w:p w14:paraId="071D08C5" w14:textId="7FE62443" w:rsidR="00596784" w:rsidRDefault="00596784" w:rsidP="00596784">
      <w:pPr>
        <w:jc w:val="both"/>
        <w:rPr>
          <w:rFonts w:ascii="Nirmala UI" w:eastAsia="Times New Roman" w:hAnsi="Nirmala UI" w:cs="Nirmala UI"/>
          <w:lang w:val="es-MX" w:eastAsia="es-MX"/>
        </w:rPr>
      </w:pPr>
    </w:p>
    <w:p w14:paraId="3B0A0F1C" w14:textId="77777777" w:rsidR="00596784" w:rsidRPr="00596784" w:rsidRDefault="00596784" w:rsidP="00596784">
      <w:pPr>
        <w:jc w:val="both"/>
        <w:rPr>
          <w:rFonts w:ascii="Nirmala UI" w:eastAsia="Times New Roman" w:hAnsi="Nirmala UI" w:cs="Nirmala UI"/>
          <w:lang w:val="es-MX" w:eastAsia="es-MX"/>
        </w:rPr>
      </w:pPr>
    </w:p>
    <w:p w14:paraId="1A4658B6" w14:textId="77777777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lastRenderedPageBreak/>
        <w:t>6. Prevención del abandono escolar y acompañamiento académico</w:t>
      </w:r>
    </w:p>
    <w:p w14:paraId="17C60274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programa ha desarrollado un sistema integral de seguimiento y tutoría, que se articula desde el primer semestre. Cada estudiante cuenta con un comité tutorial que evalúa su avance semestral y define planes personalizados de desarrollo académico. Este modelo de acompañamiento busca identificar de manera temprana posibles dificultades de rendimiento, adaptación o gestión del proyecto de investigación.</w:t>
      </w:r>
    </w:p>
    <w:p w14:paraId="2258E8CB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Asimismo, el Programa Institucional de Seguimiento de Egresadas y Egresados de Posgrado (PISEP) brinda herramientas para la inserción laboral y la continuidad académica, retroalimentando al programa sobre los factores que influyen en la permanencia y el desempeño profesional del estudiantado.</w:t>
      </w:r>
    </w:p>
    <w:p w14:paraId="18243132" w14:textId="3361774D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CIATEJ promueve además actividades extracurriculares que fortalecen el sentido de pertenencia y la motivación, tales como seminarios interinstitucionales, talleres de habilidades blandas, comunicación científica y liderazgo. Estas acciones han permitido mantener bajos índices de deserción y altas tasas de obtención de grado.</w:t>
      </w:r>
    </w:p>
    <w:p w14:paraId="3F7FFDD1" w14:textId="4BA02836" w:rsidR="00596784" w:rsidRPr="00596784" w:rsidRDefault="00596784" w:rsidP="00596784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96784">
        <w:rPr>
          <w:rFonts w:ascii="Nirmala UI" w:eastAsia="Times New Roman" w:hAnsi="Nirmala UI" w:cs="Nirmala UI"/>
          <w:b/>
          <w:bCs/>
          <w:lang w:val="es-MX" w:eastAsia="es-MX"/>
        </w:rPr>
        <w:t>7. Conclusi</w:t>
      </w:r>
      <w:r>
        <w:rPr>
          <w:rFonts w:ascii="Nirmala UI" w:eastAsia="Times New Roman" w:hAnsi="Nirmala UI" w:cs="Nirmala UI"/>
          <w:b/>
          <w:bCs/>
          <w:lang w:val="es-MX" w:eastAsia="es-MX"/>
        </w:rPr>
        <w:t>ón</w:t>
      </w:r>
    </w:p>
    <w:p w14:paraId="2C390CAD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La congruencia entre el perfil de ingreso, el proceso de selección y el plan de estudios del Doctorado en Ciencias en Innovación Biotecnológica refleja un modelo educativo de excelencia, inclusivo y socialmente comprometido. Su diseño curricular garantiza que los conocimientos, habilidades y valores del estudiantado se articulen de manera coherente con las necesidades científicas y tecnológicas del país.</w:t>
      </w:r>
    </w:p>
    <w:p w14:paraId="23A802D8" w14:textId="77777777" w:rsidR="00596784" w:rsidRPr="00596784" w:rsidRDefault="00596784" w:rsidP="00596784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96784">
        <w:rPr>
          <w:rFonts w:ascii="Nirmala UI" w:eastAsia="Times New Roman" w:hAnsi="Nirmala UI" w:cs="Nirmala UI"/>
          <w:lang w:val="es-MX" w:eastAsia="es-MX"/>
        </w:rPr>
        <w:t>El programa no solo forma investigadores de alto nivel, sino que también impulsa una formación ética, con conciencia social y perspectiva de igualdad. Las estrategias institucionales para reducir brechas y prevenir el abandono escolar consolidan al CIATEJ como una entidad de educación científica avanzada que promueve el acceso equitativo y la permanencia exitosa en el posgrado, contribuyendo al fortalecimiento del sistema nacional de ciencia, tecnología e innovación.</w:t>
      </w:r>
    </w:p>
    <w:p w14:paraId="17181664" w14:textId="77777777" w:rsidR="00D055F5" w:rsidRPr="00596784" w:rsidRDefault="00D055F5" w:rsidP="00596784">
      <w:pPr>
        <w:jc w:val="both"/>
        <w:rPr>
          <w:rFonts w:ascii="Nirmala UI" w:hAnsi="Nirmala UI" w:cs="Nirmala UI"/>
        </w:rPr>
      </w:pPr>
    </w:p>
    <w:sectPr w:rsidR="00D055F5" w:rsidRPr="00596784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02CD" w14:textId="77777777" w:rsidR="008C0FE7" w:rsidRDefault="008C0FE7" w:rsidP="00A73D65">
      <w:r>
        <w:separator/>
      </w:r>
    </w:p>
  </w:endnote>
  <w:endnote w:type="continuationSeparator" w:id="0">
    <w:p w14:paraId="06F092A2" w14:textId="77777777" w:rsidR="008C0FE7" w:rsidRDefault="008C0FE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E6C3" w14:textId="77777777" w:rsidR="008C0FE7" w:rsidRDefault="008C0FE7" w:rsidP="00A73D65">
      <w:r>
        <w:separator/>
      </w:r>
    </w:p>
  </w:footnote>
  <w:footnote w:type="continuationSeparator" w:id="0">
    <w:p w14:paraId="01466114" w14:textId="77777777" w:rsidR="008C0FE7" w:rsidRDefault="008C0FE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EE7454"/>
    <w:multiLevelType w:val="multilevel"/>
    <w:tmpl w:val="253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96784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5967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5967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59678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9678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5967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67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596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1263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2</cp:revision>
  <dcterms:created xsi:type="dcterms:W3CDTF">2025-11-07T20:54:00Z</dcterms:created>
  <dcterms:modified xsi:type="dcterms:W3CDTF">2025-11-07T20:54:00Z</dcterms:modified>
</cp:coreProperties>
</file>