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75BD1" w14:textId="792EBE06" w:rsidR="00A90517" w:rsidRDefault="00A90517" w:rsidP="00A90517">
      <w:pPr>
        <w:pStyle w:val="Default"/>
        <w:jc w:val="right"/>
        <w:rPr>
          <w:sz w:val="20"/>
          <w:szCs w:val="20"/>
        </w:rPr>
      </w:pPr>
      <w:bookmarkStart w:id="0" w:name="_Hlk124759586"/>
      <w:r w:rsidRPr="00A90517">
        <w:rPr>
          <w:sz w:val="20"/>
          <w:szCs w:val="20"/>
        </w:rPr>
        <w:t xml:space="preserve">Guadalajara Jalisco a </w:t>
      </w:r>
      <w:r>
        <w:rPr>
          <w:sz w:val="20"/>
          <w:szCs w:val="20"/>
        </w:rPr>
        <w:t>05 de noviembre de 2025.</w:t>
      </w:r>
    </w:p>
    <w:p w14:paraId="113CE8CA" w14:textId="6C008883" w:rsidR="00A90517" w:rsidRPr="00A90517" w:rsidRDefault="00A90517" w:rsidP="00A90517">
      <w:pPr>
        <w:pStyle w:val="Default"/>
        <w:jc w:val="right"/>
        <w:rPr>
          <w:sz w:val="18"/>
          <w:szCs w:val="18"/>
        </w:rPr>
      </w:pPr>
      <w:r w:rsidRPr="00A90517">
        <w:rPr>
          <w:sz w:val="18"/>
          <w:szCs w:val="18"/>
        </w:rPr>
        <w:t>DGA 384/2025</w:t>
      </w:r>
    </w:p>
    <w:p w14:paraId="6B82036C" w14:textId="56BD0B48" w:rsidR="00A90517" w:rsidRDefault="00A90517" w:rsidP="00A90517">
      <w:pPr>
        <w:pStyle w:val="Default"/>
        <w:jc w:val="right"/>
        <w:rPr>
          <w:sz w:val="20"/>
          <w:szCs w:val="20"/>
        </w:rPr>
      </w:pPr>
    </w:p>
    <w:p w14:paraId="2D669BA7" w14:textId="5DF9E367" w:rsidR="00476659" w:rsidRPr="00476659" w:rsidRDefault="00476659" w:rsidP="00476659">
      <w:pPr>
        <w:pStyle w:val="Default"/>
        <w:rPr>
          <w:b/>
          <w:bCs/>
          <w:sz w:val="22"/>
          <w:szCs w:val="22"/>
        </w:rPr>
      </w:pPr>
      <w:r w:rsidRPr="00476659">
        <w:rPr>
          <w:b/>
          <w:bCs/>
          <w:sz w:val="22"/>
          <w:szCs w:val="22"/>
        </w:rPr>
        <w:t>Dra. Liza Elena Aceves López</w:t>
      </w:r>
    </w:p>
    <w:p w14:paraId="4AF3710B" w14:textId="472B6FA8" w:rsidR="00C9796D" w:rsidRPr="00A90517" w:rsidRDefault="00C9796D" w:rsidP="00C9796D">
      <w:pPr>
        <w:pStyle w:val="Default"/>
        <w:rPr>
          <w:sz w:val="22"/>
          <w:szCs w:val="22"/>
        </w:rPr>
      </w:pPr>
      <w:r w:rsidRPr="00A90517">
        <w:rPr>
          <w:b/>
          <w:bCs/>
          <w:sz w:val="22"/>
          <w:szCs w:val="22"/>
        </w:rPr>
        <w:t xml:space="preserve">Dirección General de Becas y Apoyos a la Comunidad Científica y Humanística. </w:t>
      </w:r>
    </w:p>
    <w:p w14:paraId="7896C284" w14:textId="77777777" w:rsidR="00C9796D" w:rsidRDefault="00C9796D" w:rsidP="00C9796D">
      <w:pPr>
        <w:pStyle w:val="Default"/>
        <w:rPr>
          <w:b/>
          <w:bCs/>
          <w:sz w:val="20"/>
          <w:szCs w:val="20"/>
        </w:rPr>
      </w:pPr>
    </w:p>
    <w:p w14:paraId="4AB131AC" w14:textId="1139AC86" w:rsidR="00C9796D" w:rsidRPr="00D601CD" w:rsidRDefault="00C9796D" w:rsidP="00A90517">
      <w:pPr>
        <w:spacing w:line="276" w:lineRule="auto"/>
        <w:jc w:val="both"/>
        <w:rPr>
          <w:rFonts w:ascii="Segoe UI" w:hAnsi="Segoe UI" w:cs="Segoe UI"/>
          <w:bCs/>
          <w:sz w:val="22"/>
          <w:szCs w:val="22"/>
        </w:rPr>
      </w:pPr>
      <w:r w:rsidRPr="00D601CD">
        <w:rPr>
          <w:rFonts w:ascii="Segoe UI" w:hAnsi="Segoe UI" w:cs="Segoe UI"/>
          <w:bCs/>
          <w:sz w:val="22"/>
          <w:szCs w:val="22"/>
        </w:rPr>
        <w:t>La que suscribe, Dra. Lorena Amaya Delgado,</w:t>
      </w:r>
      <w:r>
        <w:rPr>
          <w:rFonts w:ascii="Segoe UI" w:hAnsi="Segoe UI" w:cs="Segoe UI"/>
          <w:bCs/>
          <w:sz w:val="22"/>
          <w:szCs w:val="22"/>
        </w:rPr>
        <w:t xml:space="preserve"> </w:t>
      </w:r>
      <w:proofErr w:type="gramStart"/>
      <w:r w:rsidRPr="00D601CD">
        <w:rPr>
          <w:rFonts w:ascii="Segoe UI" w:hAnsi="Segoe UI" w:cs="Segoe UI"/>
          <w:bCs/>
          <w:sz w:val="22"/>
          <w:szCs w:val="22"/>
        </w:rPr>
        <w:t>Directora</w:t>
      </w:r>
      <w:r>
        <w:rPr>
          <w:rFonts w:ascii="Segoe UI" w:hAnsi="Segoe UI" w:cs="Segoe UI"/>
          <w:bCs/>
          <w:sz w:val="22"/>
          <w:szCs w:val="22"/>
        </w:rPr>
        <w:t xml:space="preserve"> </w:t>
      </w:r>
      <w:r w:rsidRPr="00D601CD">
        <w:rPr>
          <w:rFonts w:ascii="Segoe UI" w:hAnsi="Segoe UI" w:cs="Segoe UI"/>
          <w:bCs/>
          <w:sz w:val="22"/>
          <w:szCs w:val="22"/>
        </w:rPr>
        <w:t>General</w:t>
      </w:r>
      <w:proofErr w:type="gramEnd"/>
      <w:r w:rsidRPr="00D601CD">
        <w:rPr>
          <w:rFonts w:ascii="Segoe UI" w:hAnsi="Segoe UI" w:cs="Segoe UI"/>
          <w:bCs/>
          <w:sz w:val="22"/>
          <w:szCs w:val="22"/>
        </w:rPr>
        <w:t xml:space="preserve"> Interina del Centro de Investigación y Asistencia en Tecnología y Diseño del Estado de Jalisco, A.C. (</w:t>
      </w:r>
      <w:r w:rsidRPr="00A90517">
        <w:rPr>
          <w:rFonts w:ascii="Segoe UI" w:hAnsi="Segoe UI" w:cs="Segoe UI"/>
          <w:b/>
          <w:sz w:val="22"/>
          <w:szCs w:val="22"/>
        </w:rPr>
        <w:t>CIATEJ</w:t>
      </w:r>
      <w:r w:rsidRPr="00D601CD">
        <w:rPr>
          <w:rFonts w:ascii="Segoe UI" w:hAnsi="Segoe UI" w:cs="Segoe UI"/>
          <w:bCs/>
          <w:sz w:val="22"/>
          <w:szCs w:val="22"/>
        </w:rPr>
        <w:t xml:space="preserve">) se complace en saludarles y compartir con ustedes la siguiente información referente al programa de </w:t>
      </w:r>
      <w:r w:rsidR="000701F9" w:rsidRPr="00A90517">
        <w:rPr>
          <w:rFonts w:ascii="Segoe UI" w:hAnsi="Segoe UI" w:cs="Segoe UI"/>
          <w:b/>
          <w:sz w:val="22"/>
          <w:szCs w:val="22"/>
        </w:rPr>
        <w:t>Doctorado en Ciencias en Innovación Biotecnológica</w:t>
      </w:r>
      <w:r w:rsidRPr="00D601CD">
        <w:rPr>
          <w:rFonts w:ascii="Segoe UI" w:hAnsi="Segoe UI" w:cs="Segoe UI"/>
          <w:bCs/>
          <w:sz w:val="22"/>
          <w:szCs w:val="22"/>
        </w:rPr>
        <w:t xml:space="preserve">, esto para que pueda ser considerado dentro </w:t>
      </w:r>
      <w:r w:rsidR="00A90517">
        <w:rPr>
          <w:rFonts w:ascii="Segoe UI" w:hAnsi="Segoe UI" w:cs="Segoe UI"/>
          <w:bCs/>
          <w:sz w:val="22"/>
          <w:szCs w:val="22"/>
        </w:rPr>
        <w:t xml:space="preserve">de la valoración para </w:t>
      </w:r>
      <w:r w:rsidRPr="00D601CD">
        <w:rPr>
          <w:rFonts w:ascii="Segoe UI" w:hAnsi="Segoe UI" w:cs="Segoe UI"/>
          <w:bCs/>
          <w:sz w:val="22"/>
          <w:szCs w:val="22"/>
        </w:rPr>
        <w:t xml:space="preserve">el Sistema Nacional de Posgrados. </w:t>
      </w:r>
    </w:p>
    <w:p w14:paraId="7D9DC539" w14:textId="77777777" w:rsidR="00E5146D" w:rsidRDefault="00E5146D" w:rsidP="00E5146D">
      <w:pPr>
        <w:pStyle w:val="Default"/>
        <w:rPr>
          <w:sz w:val="20"/>
          <w:szCs w:val="20"/>
        </w:rPr>
      </w:pPr>
    </w:p>
    <w:tbl>
      <w:tblPr>
        <w:tblW w:w="9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5"/>
        <w:gridCol w:w="4865"/>
      </w:tblGrid>
      <w:tr w:rsidR="00E5146D" w14:paraId="2D015ABD" w14:textId="77777777" w:rsidTr="00E5146D">
        <w:trPr>
          <w:trHeight w:val="122"/>
        </w:trPr>
        <w:tc>
          <w:tcPr>
            <w:tcW w:w="4865" w:type="dxa"/>
          </w:tcPr>
          <w:p w14:paraId="294A9014" w14:textId="317E68D0" w:rsidR="00E5146D" w:rsidRDefault="00E5146D" w:rsidP="00E5146D">
            <w:pPr>
              <w:pStyle w:val="Default"/>
              <w:rPr>
                <w:color w:val="FFFFFF"/>
                <w:sz w:val="18"/>
                <w:szCs w:val="18"/>
              </w:rPr>
            </w:pPr>
            <w:r w:rsidRPr="00E5146D">
              <w:rPr>
                <w:color w:val="auto"/>
                <w:sz w:val="18"/>
                <w:szCs w:val="18"/>
              </w:rPr>
              <w:t>Elemento</w:t>
            </w:r>
          </w:p>
        </w:tc>
        <w:tc>
          <w:tcPr>
            <w:tcW w:w="4865" w:type="dxa"/>
          </w:tcPr>
          <w:p w14:paraId="2C860883" w14:textId="3962E324" w:rsidR="00E5146D" w:rsidRPr="00E5146D" w:rsidRDefault="00E5146D" w:rsidP="00E5146D">
            <w:pPr>
              <w:pStyle w:val="Default"/>
              <w:rPr>
                <w:color w:val="auto"/>
                <w:sz w:val="18"/>
                <w:szCs w:val="18"/>
              </w:rPr>
            </w:pPr>
            <w:r>
              <w:rPr>
                <w:color w:val="auto"/>
                <w:sz w:val="18"/>
                <w:szCs w:val="18"/>
              </w:rPr>
              <w:t>Detalle</w:t>
            </w:r>
          </w:p>
        </w:tc>
      </w:tr>
      <w:tr w:rsidR="00E5146D" w14:paraId="69F7C53A" w14:textId="77777777" w:rsidTr="00E5146D">
        <w:trPr>
          <w:trHeight w:val="122"/>
        </w:trPr>
        <w:tc>
          <w:tcPr>
            <w:tcW w:w="4865" w:type="dxa"/>
          </w:tcPr>
          <w:p w14:paraId="2802D3A3" w14:textId="77777777" w:rsidR="00E5146D" w:rsidRPr="00A90517" w:rsidRDefault="00E5146D">
            <w:pPr>
              <w:pStyle w:val="Default"/>
              <w:rPr>
                <w:sz w:val="20"/>
                <w:szCs w:val="20"/>
              </w:rPr>
            </w:pPr>
            <w:r w:rsidRPr="00A90517">
              <w:rPr>
                <w:b/>
                <w:bCs/>
                <w:sz w:val="20"/>
                <w:szCs w:val="20"/>
              </w:rPr>
              <w:t xml:space="preserve">Número de referencia </w:t>
            </w:r>
          </w:p>
        </w:tc>
        <w:tc>
          <w:tcPr>
            <w:tcW w:w="4865" w:type="dxa"/>
          </w:tcPr>
          <w:p w14:paraId="0F7DD8ED" w14:textId="46FF00D0" w:rsidR="00E5146D" w:rsidRPr="00A90517" w:rsidRDefault="00C9796D">
            <w:pPr>
              <w:pStyle w:val="Default"/>
              <w:rPr>
                <w:b/>
                <w:bCs/>
                <w:sz w:val="22"/>
                <w:szCs w:val="22"/>
              </w:rPr>
            </w:pPr>
            <w:r w:rsidRPr="00A90517">
              <w:rPr>
                <w:b/>
                <w:bCs/>
                <w:sz w:val="22"/>
                <w:szCs w:val="22"/>
              </w:rPr>
              <w:t>004277</w:t>
            </w:r>
            <w:r w:rsidR="00E5146D" w:rsidRPr="00A90517">
              <w:rPr>
                <w:b/>
                <w:bCs/>
                <w:sz w:val="22"/>
                <w:szCs w:val="22"/>
              </w:rPr>
              <w:t xml:space="preserve"> </w:t>
            </w:r>
          </w:p>
        </w:tc>
      </w:tr>
      <w:tr w:rsidR="00E5146D" w14:paraId="3C7E0C12" w14:textId="77777777" w:rsidTr="00E5146D">
        <w:trPr>
          <w:trHeight w:val="122"/>
        </w:trPr>
        <w:tc>
          <w:tcPr>
            <w:tcW w:w="4865" w:type="dxa"/>
          </w:tcPr>
          <w:p w14:paraId="615626B3" w14:textId="77777777" w:rsidR="00E5146D" w:rsidRPr="00A90517" w:rsidRDefault="00E5146D">
            <w:pPr>
              <w:pStyle w:val="Default"/>
              <w:rPr>
                <w:sz w:val="20"/>
                <w:szCs w:val="20"/>
              </w:rPr>
            </w:pPr>
            <w:r w:rsidRPr="00A90517">
              <w:rPr>
                <w:b/>
                <w:bCs/>
                <w:sz w:val="20"/>
                <w:szCs w:val="20"/>
              </w:rPr>
              <w:t xml:space="preserve">Nombre del posgrado </w:t>
            </w:r>
          </w:p>
        </w:tc>
        <w:tc>
          <w:tcPr>
            <w:tcW w:w="4865" w:type="dxa"/>
          </w:tcPr>
          <w:p w14:paraId="411778B2" w14:textId="2C33F5A0" w:rsidR="00E5146D" w:rsidRPr="008B59A0" w:rsidRDefault="00E5146D">
            <w:pPr>
              <w:pStyle w:val="Default"/>
              <w:rPr>
                <w:sz w:val="20"/>
                <w:szCs w:val="20"/>
              </w:rPr>
            </w:pPr>
            <w:r w:rsidRPr="008B59A0">
              <w:rPr>
                <w:sz w:val="20"/>
                <w:szCs w:val="20"/>
              </w:rPr>
              <w:t xml:space="preserve">Doctorado en Ciencias en Innovación Biotecnológica </w:t>
            </w:r>
          </w:p>
        </w:tc>
      </w:tr>
      <w:tr w:rsidR="00C9796D" w14:paraId="11768A3E" w14:textId="77777777" w:rsidTr="00E5146D">
        <w:trPr>
          <w:trHeight w:val="122"/>
        </w:trPr>
        <w:tc>
          <w:tcPr>
            <w:tcW w:w="4865" w:type="dxa"/>
          </w:tcPr>
          <w:p w14:paraId="4AA1EC59" w14:textId="77777777" w:rsidR="00C9796D" w:rsidRPr="00A90517" w:rsidRDefault="00C9796D" w:rsidP="00C9796D">
            <w:pPr>
              <w:pStyle w:val="Default"/>
              <w:rPr>
                <w:sz w:val="20"/>
                <w:szCs w:val="20"/>
              </w:rPr>
            </w:pPr>
            <w:r w:rsidRPr="00A90517">
              <w:rPr>
                <w:b/>
                <w:bCs/>
                <w:sz w:val="20"/>
                <w:szCs w:val="20"/>
              </w:rPr>
              <w:t xml:space="preserve">IES/Centros de investigación </w:t>
            </w:r>
          </w:p>
        </w:tc>
        <w:tc>
          <w:tcPr>
            <w:tcW w:w="4865" w:type="dxa"/>
          </w:tcPr>
          <w:p w14:paraId="40F4FC0E" w14:textId="5551B1BE" w:rsidR="00C9796D" w:rsidRPr="008B59A0" w:rsidRDefault="00C9796D" w:rsidP="00C9796D">
            <w:pPr>
              <w:pStyle w:val="Default"/>
              <w:rPr>
                <w:sz w:val="20"/>
                <w:szCs w:val="20"/>
              </w:rPr>
            </w:pPr>
            <w:r w:rsidRPr="008B59A0">
              <w:rPr>
                <w:bCs/>
                <w:sz w:val="20"/>
                <w:szCs w:val="20"/>
              </w:rPr>
              <w:t>Centro de Investigación y Asistencia en Tecnología y Diseño del Estado de Jalisco, A.C.</w:t>
            </w:r>
          </w:p>
        </w:tc>
      </w:tr>
      <w:tr w:rsidR="00C9796D" w14:paraId="042251E9" w14:textId="77777777" w:rsidTr="00E5146D">
        <w:trPr>
          <w:trHeight w:val="244"/>
        </w:trPr>
        <w:tc>
          <w:tcPr>
            <w:tcW w:w="4865" w:type="dxa"/>
          </w:tcPr>
          <w:p w14:paraId="0BA2283F" w14:textId="77777777" w:rsidR="00C9796D" w:rsidRPr="00A90517" w:rsidRDefault="00C9796D" w:rsidP="00C9796D">
            <w:pPr>
              <w:pStyle w:val="Default"/>
              <w:rPr>
                <w:sz w:val="20"/>
                <w:szCs w:val="20"/>
              </w:rPr>
            </w:pPr>
            <w:r w:rsidRPr="00A90517">
              <w:rPr>
                <w:b/>
                <w:bCs/>
                <w:sz w:val="20"/>
                <w:szCs w:val="20"/>
              </w:rPr>
              <w:t xml:space="preserve">Tipo de Institución </w:t>
            </w:r>
          </w:p>
        </w:tc>
        <w:tc>
          <w:tcPr>
            <w:tcW w:w="4865" w:type="dxa"/>
          </w:tcPr>
          <w:p w14:paraId="6C012CD8" w14:textId="7713D41E" w:rsidR="00C9796D" w:rsidRPr="008B59A0" w:rsidRDefault="00C9796D" w:rsidP="00C9796D">
            <w:pPr>
              <w:pStyle w:val="Default"/>
              <w:rPr>
                <w:sz w:val="20"/>
                <w:szCs w:val="20"/>
              </w:rPr>
            </w:pPr>
            <w:r w:rsidRPr="008B59A0">
              <w:rPr>
                <w:sz w:val="20"/>
                <w:szCs w:val="20"/>
              </w:rPr>
              <w:t xml:space="preserve">Pública </w:t>
            </w:r>
          </w:p>
        </w:tc>
      </w:tr>
      <w:tr w:rsidR="00E5146D" w14:paraId="54BC29D2" w14:textId="77777777" w:rsidTr="00E5146D">
        <w:trPr>
          <w:trHeight w:val="376"/>
        </w:trPr>
        <w:tc>
          <w:tcPr>
            <w:tcW w:w="4865" w:type="dxa"/>
          </w:tcPr>
          <w:p w14:paraId="33ACF970" w14:textId="77777777" w:rsidR="00E5146D" w:rsidRPr="00A90517" w:rsidRDefault="00E5146D">
            <w:pPr>
              <w:pStyle w:val="Default"/>
              <w:rPr>
                <w:sz w:val="20"/>
                <w:szCs w:val="20"/>
              </w:rPr>
            </w:pPr>
            <w:r w:rsidRPr="00A90517">
              <w:rPr>
                <w:b/>
                <w:bCs/>
                <w:sz w:val="20"/>
                <w:szCs w:val="20"/>
              </w:rPr>
              <w:t xml:space="preserve">Grado </w:t>
            </w:r>
          </w:p>
        </w:tc>
        <w:tc>
          <w:tcPr>
            <w:tcW w:w="4865" w:type="dxa"/>
          </w:tcPr>
          <w:p w14:paraId="788656C8" w14:textId="1BB000C8" w:rsidR="00E5146D" w:rsidRPr="008B59A0" w:rsidRDefault="00E5146D">
            <w:pPr>
              <w:pStyle w:val="Default"/>
              <w:rPr>
                <w:sz w:val="20"/>
                <w:szCs w:val="20"/>
              </w:rPr>
            </w:pPr>
            <w:r w:rsidRPr="008B59A0">
              <w:rPr>
                <w:sz w:val="20"/>
                <w:szCs w:val="20"/>
              </w:rPr>
              <w:t xml:space="preserve">Doctorado </w:t>
            </w:r>
          </w:p>
        </w:tc>
      </w:tr>
      <w:tr w:rsidR="00E5146D" w14:paraId="4F5ECBD6" w14:textId="77777777" w:rsidTr="00E5146D">
        <w:trPr>
          <w:trHeight w:val="249"/>
        </w:trPr>
        <w:tc>
          <w:tcPr>
            <w:tcW w:w="4865" w:type="dxa"/>
          </w:tcPr>
          <w:p w14:paraId="519D3E2C" w14:textId="77777777" w:rsidR="00E5146D" w:rsidRPr="00A90517" w:rsidRDefault="00E5146D">
            <w:pPr>
              <w:pStyle w:val="Default"/>
              <w:rPr>
                <w:sz w:val="20"/>
                <w:szCs w:val="20"/>
              </w:rPr>
            </w:pPr>
            <w:r w:rsidRPr="00A90517">
              <w:rPr>
                <w:b/>
                <w:bCs/>
                <w:sz w:val="20"/>
                <w:szCs w:val="20"/>
              </w:rPr>
              <w:t xml:space="preserve">Orientación </w:t>
            </w:r>
          </w:p>
        </w:tc>
        <w:tc>
          <w:tcPr>
            <w:tcW w:w="4865" w:type="dxa"/>
          </w:tcPr>
          <w:p w14:paraId="7E8BAC52" w14:textId="73DBADBE" w:rsidR="00E5146D" w:rsidRPr="008B59A0" w:rsidRDefault="00E5146D" w:rsidP="00C9796D">
            <w:pPr>
              <w:pStyle w:val="Default"/>
              <w:rPr>
                <w:sz w:val="20"/>
                <w:szCs w:val="20"/>
              </w:rPr>
            </w:pPr>
            <w:r w:rsidRPr="008B59A0">
              <w:rPr>
                <w:sz w:val="20"/>
                <w:szCs w:val="20"/>
              </w:rPr>
              <w:t xml:space="preserve">Investigación </w:t>
            </w:r>
          </w:p>
        </w:tc>
      </w:tr>
      <w:tr w:rsidR="00E5146D" w14:paraId="1B5F7B99" w14:textId="77777777" w:rsidTr="00E5146D">
        <w:trPr>
          <w:trHeight w:val="367"/>
        </w:trPr>
        <w:tc>
          <w:tcPr>
            <w:tcW w:w="4865" w:type="dxa"/>
          </w:tcPr>
          <w:p w14:paraId="02BEA8F0" w14:textId="77777777" w:rsidR="00E5146D" w:rsidRPr="00A90517" w:rsidRDefault="00E5146D">
            <w:pPr>
              <w:pStyle w:val="Default"/>
              <w:rPr>
                <w:sz w:val="20"/>
                <w:szCs w:val="20"/>
              </w:rPr>
            </w:pPr>
            <w:r w:rsidRPr="00A90517">
              <w:rPr>
                <w:b/>
                <w:bCs/>
                <w:sz w:val="20"/>
                <w:szCs w:val="20"/>
              </w:rPr>
              <w:t xml:space="preserve">Área </w:t>
            </w:r>
          </w:p>
          <w:p w14:paraId="6763AAA5" w14:textId="77777777" w:rsidR="00E5146D" w:rsidRPr="00A90517" w:rsidRDefault="00E5146D">
            <w:pPr>
              <w:pStyle w:val="Default"/>
              <w:rPr>
                <w:sz w:val="20"/>
                <w:szCs w:val="20"/>
              </w:rPr>
            </w:pPr>
            <w:r w:rsidRPr="00A90517">
              <w:rPr>
                <w:b/>
                <w:bCs/>
                <w:sz w:val="20"/>
                <w:szCs w:val="20"/>
              </w:rPr>
              <w:t xml:space="preserve">Campo y </w:t>
            </w:r>
          </w:p>
          <w:p w14:paraId="75966344" w14:textId="77777777" w:rsidR="00E5146D" w:rsidRPr="00A90517" w:rsidRDefault="00E5146D">
            <w:pPr>
              <w:pStyle w:val="Default"/>
              <w:rPr>
                <w:sz w:val="20"/>
                <w:szCs w:val="20"/>
              </w:rPr>
            </w:pPr>
            <w:r w:rsidRPr="00A90517">
              <w:rPr>
                <w:b/>
                <w:bCs/>
                <w:sz w:val="20"/>
                <w:szCs w:val="20"/>
              </w:rPr>
              <w:t xml:space="preserve">Disciplina </w:t>
            </w:r>
          </w:p>
        </w:tc>
        <w:tc>
          <w:tcPr>
            <w:tcW w:w="4865" w:type="dxa"/>
          </w:tcPr>
          <w:p w14:paraId="65D9639F" w14:textId="77777777" w:rsidR="005050FF" w:rsidRPr="008B59A0" w:rsidRDefault="005050FF" w:rsidP="005050FF">
            <w:pPr>
              <w:pStyle w:val="Default"/>
              <w:rPr>
                <w:sz w:val="20"/>
                <w:szCs w:val="20"/>
              </w:rPr>
            </w:pPr>
            <w:r w:rsidRPr="008B59A0">
              <w:rPr>
                <w:sz w:val="20"/>
                <w:szCs w:val="20"/>
              </w:rPr>
              <w:t>Ciencias Agropecuarias y Biotecnología</w:t>
            </w:r>
          </w:p>
          <w:p w14:paraId="5FCFAD37" w14:textId="77777777" w:rsidR="005050FF" w:rsidRPr="008B59A0" w:rsidRDefault="005050FF" w:rsidP="005050FF">
            <w:pPr>
              <w:pStyle w:val="Default"/>
              <w:rPr>
                <w:sz w:val="20"/>
                <w:szCs w:val="20"/>
              </w:rPr>
            </w:pPr>
            <w:r w:rsidRPr="008B59A0">
              <w:rPr>
                <w:sz w:val="20"/>
                <w:szCs w:val="20"/>
              </w:rPr>
              <w:t>Biotecnología/Agronomía/Ciencias ambientales</w:t>
            </w:r>
          </w:p>
          <w:p w14:paraId="256B2B0E" w14:textId="3D350ABF" w:rsidR="00E5146D" w:rsidRPr="008B59A0" w:rsidRDefault="005050FF" w:rsidP="005050FF">
            <w:pPr>
              <w:pStyle w:val="Default"/>
              <w:rPr>
                <w:sz w:val="20"/>
                <w:szCs w:val="20"/>
              </w:rPr>
            </w:pPr>
            <w:r w:rsidRPr="008B59A0">
              <w:rPr>
                <w:sz w:val="20"/>
                <w:szCs w:val="20"/>
              </w:rPr>
              <w:t>Bioprocesos/Ciencia y Tecnología de los Alimentos/Gestión Ambiental</w:t>
            </w:r>
          </w:p>
        </w:tc>
      </w:tr>
      <w:tr w:rsidR="00E5146D" w14:paraId="76C6B19D" w14:textId="77777777" w:rsidTr="00E5146D">
        <w:trPr>
          <w:trHeight w:val="1737"/>
        </w:trPr>
        <w:tc>
          <w:tcPr>
            <w:tcW w:w="4865" w:type="dxa"/>
          </w:tcPr>
          <w:p w14:paraId="2A9486E1" w14:textId="5D7ADFC1" w:rsidR="005050FF" w:rsidRPr="00A90517" w:rsidRDefault="00E5146D" w:rsidP="005050FF">
            <w:pPr>
              <w:pStyle w:val="Default"/>
              <w:rPr>
                <w:sz w:val="20"/>
                <w:szCs w:val="20"/>
              </w:rPr>
            </w:pPr>
            <w:r w:rsidRPr="00A90517">
              <w:rPr>
                <w:b/>
                <w:bCs/>
                <w:sz w:val="20"/>
                <w:szCs w:val="20"/>
              </w:rPr>
              <w:t xml:space="preserve">Compromiso institucional </w:t>
            </w:r>
          </w:p>
          <w:p w14:paraId="3915694F" w14:textId="1F071FE3" w:rsidR="00E5146D" w:rsidRPr="00A90517" w:rsidRDefault="00E5146D">
            <w:pPr>
              <w:pStyle w:val="Default"/>
              <w:rPr>
                <w:sz w:val="20"/>
                <w:szCs w:val="20"/>
              </w:rPr>
            </w:pPr>
          </w:p>
        </w:tc>
        <w:tc>
          <w:tcPr>
            <w:tcW w:w="4865" w:type="dxa"/>
          </w:tcPr>
          <w:p w14:paraId="1160B9DB" w14:textId="77777777" w:rsidR="005050FF" w:rsidRPr="008B59A0" w:rsidRDefault="005050FF" w:rsidP="005050FF">
            <w:pPr>
              <w:pStyle w:val="Default"/>
              <w:rPr>
                <w:sz w:val="20"/>
                <w:szCs w:val="20"/>
              </w:rPr>
            </w:pPr>
            <w:r w:rsidRPr="008B59A0">
              <w:rPr>
                <w:sz w:val="20"/>
                <w:szCs w:val="20"/>
              </w:rPr>
              <w:t>El CIATEJ se compromete a:</w:t>
            </w:r>
          </w:p>
          <w:p w14:paraId="46C6BB88" w14:textId="6D2422AA" w:rsidR="005050FF" w:rsidRPr="008B59A0" w:rsidRDefault="005050FF" w:rsidP="005050FF">
            <w:pPr>
              <w:pStyle w:val="Default"/>
              <w:numPr>
                <w:ilvl w:val="0"/>
                <w:numId w:val="8"/>
              </w:numPr>
              <w:rPr>
                <w:sz w:val="20"/>
                <w:szCs w:val="20"/>
              </w:rPr>
            </w:pPr>
            <w:r w:rsidRPr="008B59A0">
              <w:rPr>
                <w:sz w:val="20"/>
                <w:szCs w:val="20"/>
              </w:rPr>
              <w:t>Mantener actualizada la información estadística del programa y estudiantes en la plataforma del SNP.</w:t>
            </w:r>
          </w:p>
          <w:p w14:paraId="1E52B40B" w14:textId="56243214" w:rsidR="005050FF" w:rsidRPr="008B59A0" w:rsidRDefault="005050FF" w:rsidP="005050FF">
            <w:pPr>
              <w:pStyle w:val="Default"/>
              <w:numPr>
                <w:ilvl w:val="0"/>
                <w:numId w:val="8"/>
              </w:numPr>
              <w:rPr>
                <w:sz w:val="20"/>
                <w:szCs w:val="20"/>
              </w:rPr>
            </w:pPr>
            <w:r w:rsidRPr="008B59A0">
              <w:rPr>
                <w:sz w:val="20"/>
                <w:szCs w:val="20"/>
              </w:rPr>
              <w:t>Garantizar que se cumple con el principio de gratuidad en los términos del Artículo 4, fracción XI de los Lineamientos del SNP.</w:t>
            </w:r>
          </w:p>
          <w:p w14:paraId="51153A5B" w14:textId="77777777" w:rsidR="005050FF" w:rsidRPr="008B59A0" w:rsidRDefault="005050FF" w:rsidP="005050FF">
            <w:pPr>
              <w:pStyle w:val="Default"/>
              <w:numPr>
                <w:ilvl w:val="0"/>
                <w:numId w:val="8"/>
              </w:numPr>
              <w:rPr>
                <w:sz w:val="20"/>
                <w:szCs w:val="20"/>
              </w:rPr>
            </w:pPr>
            <w:r w:rsidRPr="008B59A0">
              <w:rPr>
                <w:sz w:val="20"/>
                <w:szCs w:val="20"/>
              </w:rPr>
              <w:t>Indicar mediante los medios requeridos la concurrencia de apoyos asignados a las y los estudiantes con inscripción.</w:t>
            </w:r>
          </w:p>
          <w:p w14:paraId="366C88C1" w14:textId="77777777" w:rsidR="005050FF" w:rsidRPr="008B59A0" w:rsidRDefault="005050FF" w:rsidP="005050FF">
            <w:pPr>
              <w:pStyle w:val="Default"/>
              <w:numPr>
                <w:ilvl w:val="0"/>
                <w:numId w:val="8"/>
              </w:numPr>
              <w:rPr>
                <w:sz w:val="20"/>
                <w:szCs w:val="20"/>
              </w:rPr>
            </w:pPr>
            <w:r w:rsidRPr="008B59A0">
              <w:rPr>
                <w:sz w:val="20"/>
                <w:szCs w:val="20"/>
              </w:rPr>
              <w:t>Promover la colaboración con distintos sectores de la sociedad, mediante la realización de investigación pertinente y socialmente relevante que contribuya a fortalecer a los sectores alimentario, de salud y medio ambiente de nuestro país.</w:t>
            </w:r>
          </w:p>
          <w:p w14:paraId="7CC729D4" w14:textId="77777777" w:rsidR="005050FF" w:rsidRPr="008B59A0" w:rsidRDefault="005050FF" w:rsidP="005050FF">
            <w:pPr>
              <w:pStyle w:val="Default"/>
              <w:numPr>
                <w:ilvl w:val="0"/>
                <w:numId w:val="8"/>
              </w:numPr>
              <w:rPr>
                <w:sz w:val="20"/>
                <w:szCs w:val="20"/>
              </w:rPr>
            </w:pPr>
            <w:r w:rsidRPr="008B59A0">
              <w:rPr>
                <w:sz w:val="20"/>
                <w:szCs w:val="20"/>
              </w:rPr>
              <w:lastRenderedPageBreak/>
              <w:t>Promover y documentar las acciones de retribución social realizadas por las y los estudiantes durante el desarrollo de su programa de acuerdo a lo establecido en el reglamento de becas vigente y las convocatorias correspondientes.</w:t>
            </w:r>
          </w:p>
          <w:p w14:paraId="7F9CA26C" w14:textId="77777777" w:rsidR="005050FF" w:rsidRPr="008B59A0" w:rsidRDefault="005050FF" w:rsidP="005050FF">
            <w:pPr>
              <w:pStyle w:val="Default"/>
              <w:numPr>
                <w:ilvl w:val="0"/>
                <w:numId w:val="8"/>
              </w:numPr>
              <w:rPr>
                <w:sz w:val="20"/>
                <w:szCs w:val="20"/>
              </w:rPr>
            </w:pPr>
            <w:r w:rsidRPr="008B59A0">
              <w:rPr>
                <w:sz w:val="20"/>
                <w:szCs w:val="20"/>
              </w:rPr>
              <w:t xml:space="preserve">Atender toda aquella situación de violencia de género de acuerdo al “Pronunciamiento de </w:t>
            </w:r>
            <w:proofErr w:type="gramStart"/>
            <w:r w:rsidRPr="008B59A0">
              <w:rPr>
                <w:sz w:val="20"/>
                <w:szCs w:val="20"/>
              </w:rPr>
              <w:t>cero tolerancia</w:t>
            </w:r>
            <w:proofErr w:type="gramEnd"/>
            <w:r w:rsidRPr="008B59A0">
              <w:rPr>
                <w:sz w:val="20"/>
                <w:szCs w:val="20"/>
              </w:rPr>
              <w:t xml:space="preserve"> a las conductas de hostigamiento sexual y acoso sexual en el CIATEJ, A.C.” emitido el 19 de abril del 2021.</w:t>
            </w:r>
          </w:p>
          <w:p w14:paraId="3710058B" w14:textId="77777777" w:rsidR="005050FF" w:rsidRPr="008B59A0" w:rsidRDefault="005050FF" w:rsidP="005050FF">
            <w:pPr>
              <w:pStyle w:val="Default"/>
              <w:numPr>
                <w:ilvl w:val="0"/>
                <w:numId w:val="8"/>
              </w:numPr>
              <w:rPr>
                <w:sz w:val="20"/>
                <w:szCs w:val="20"/>
              </w:rPr>
            </w:pPr>
            <w:r w:rsidRPr="008B59A0">
              <w:rPr>
                <w:sz w:val="20"/>
                <w:szCs w:val="20"/>
              </w:rPr>
              <w:t>Atender situaciones que atenten a la igualdad y equidad de género de acuerdo a lo establecido en los protocolos de la Norma Mexicana en Igualdad Laboral y No Discriminación en la cual estamos certificados.</w:t>
            </w:r>
          </w:p>
          <w:p w14:paraId="5A89E297" w14:textId="7F19648A" w:rsidR="00E5146D" w:rsidRPr="00BC3E74" w:rsidRDefault="005050FF" w:rsidP="00BC3E74">
            <w:pPr>
              <w:pStyle w:val="Default"/>
              <w:numPr>
                <w:ilvl w:val="0"/>
                <w:numId w:val="8"/>
              </w:numPr>
              <w:rPr>
                <w:sz w:val="20"/>
                <w:szCs w:val="20"/>
              </w:rPr>
            </w:pPr>
            <w:r w:rsidRPr="008B59A0">
              <w:rPr>
                <w:sz w:val="20"/>
                <w:szCs w:val="20"/>
              </w:rPr>
              <w:t xml:space="preserve">Garantizar la originalidad de las tesis de nuestros estudiantes mediante los procesos de revisión </w:t>
            </w:r>
            <w:proofErr w:type="spellStart"/>
            <w:r w:rsidRPr="008B59A0">
              <w:rPr>
                <w:sz w:val="20"/>
                <w:szCs w:val="20"/>
              </w:rPr>
              <w:t>anti-plagio</w:t>
            </w:r>
            <w:proofErr w:type="spellEnd"/>
            <w:r w:rsidRPr="008B59A0">
              <w:rPr>
                <w:sz w:val="20"/>
                <w:szCs w:val="20"/>
              </w:rPr>
              <w:t xml:space="preserve"> de los borradores finales como parte de nuestro proceso de gestión de posgrado estudiantes.</w:t>
            </w:r>
          </w:p>
        </w:tc>
      </w:tr>
      <w:tr w:rsidR="00E5146D" w14:paraId="1C0C0E74" w14:textId="77777777" w:rsidTr="00E5146D">
        <w:trPr>
          <w:trHeight w:val="367"/>
        </w:trPr>
        <w:tc>
          <w:tcPr>
            <w:tcW w:w="4865" w:type="dxa"/>
          </w:tcPr>
          <w:p w14:paraId="3F98D06B" w14:textId="77777777" w:rsidR="00E5146D" w:rsidRPr="00A90517" w:rsidRDefault="00E5146D">
            <w:pPr>
              <w:pStyle w:val="Default"/>
              <w:rPr>
                <w:sz w:val="20"/>
                <w:szCs w:val="20"/>
              </w:rPr>
            </w:pPr>
            <w:r w:rsidRPr="00A90517">
              <w:rPr>
                <w:b/>
                <w:bCs/>
                <w:sz w:val="20"/>
                <w:szCs w:val="20"/>
              </w:rPr>
              <w:lastRenderedPageBreak/>
              <w:t xml:space="preserve">Justificación de la orientación del programa </w:t>
            </w:r>
          </w:p>
        </w:tc>
        <w:tc>
          <w:tcPr>
            <w:tcW w:w="4865" w:type="dxa"/>
          </w:tcPr>
          <w:p w14:paraId="330B0785" w14:textId="0E00F525" w:rsidR="005050FF" w:rsidRPr="008B59A0" w:rsidRDefault="005050FF" w:rsidP="005050FF">
            <w:pPr>
              <w:jc w:val="both"/>
              <w:rPr>
                <w:rFonts w:ascii="Noto Sans" w:hAnsi="Noto Sans" w:cs="Noto Sans"/>
                <w:sz w:val="20"/>
                <w:szCs w:val="20"/>
              </w:rPr>
            </w:pPr>
            <w:r w:rsidRPr="008B59A0">
              <w:rPr>
                <w:rFonts w:ascii="Noto Sans" w:hAnsi="Noto Sans" w:cs="Noto Sans"/>
                <w:sz w:val="20"/>
                <w:szCs w:val="20"/>
              </w:rPr>
              <w:t>El Doctorado en Ciencias en Innovación Biotecnológica tiene como propósito generar aportaciones científicas y tecnológicas que fortalezcan el desarrollo del país, a través de tres líneas de investigación e incidencia social:</w:t>
            </w:r>
          </w:p>
          <w:p w14:paraId="40998414" w14:textId="6441D018" w:rsidR="005050FF" w:rsidRPr="00BC3E74" w:rsidRDefault="005050FF" w:rsidP="005050FF">
            <w:pPr>
              <w:pStyle w:val="Prrafodelista"/>
              <w:numPr>
                <w:ilvl w:val="0"/>
                <w:numId w:val="9"/>
              </w:numPr>
              <w:jc w:val="both"/>
              <w:rPr>
                <w:rFonts w:ascii="Noto Sans" w:hAnsi="Noto Sans" w:cs="Noto Sans"/>
              </w:rPr>
            </w:pPr>
            <w:proofErr w:type="spellStart"/>
            <w:r w:rsidRPr="008B59A0">
              <w:rPr>
                <w:rFonts w:ascii="Noto Sans" w:hAnsi="Noto Sans" w:cs="Noto Sans"/>
              </w:rPr>
              <w:t>Biotecnología</w:t>
            </w:r>
            <w:proofErr w:type="spellEnd"/>
            <w:r w:rsidRPr="008B59A0">
              <w:rPr>
                <w:rFonts w:ascii="Noto Sans" w:hAnsi="Noto Sans" w:cs="Noto Sans"/>
              </w:rPr>
              <w:t xml:space="preserve"> </w:t>
            </w:r>
            <w:proofErr w:type="spellStart"/>
            <w:r w:rsidRPr="008B59A0">
              <w:rPr>
                <w:rFonts w:ascii="Noto Sans" w:hAnsi="Noto Sans" w:cs="Noto Sans"/>
              </w:rPr>
              <w:t>Agroalimentaria</w:t>
            </w:r>
            <w:proofErr w:type="spellEnd"/>
            <w:r w:rsidRPr="008B59A0">
              <w:rPr>
                <w:rFonts w:ascii="Noto Sans" w:hAnsi="Noto Sans" w:cs="Noto Sans"/>
              </w:rPr>
              <w:t>,</w:t>
            </w:r>
          </w:p>
          <w:p w14:paraId="56896505" w14:textId="4166A9BC" w:rsidR="005050FF" w:rsidRPr="00BC3E74" w:rsidRDefault="005050FF" w:rsidP="005050FF">
            <w:pPr>
              <w:pStyle w:val="Prrafodelista"/>
              <w:numPr>
                <w:ilvl w:val="0"/>
                <w:numId w:val="9"/>
              </w:numPr>
              <w:jc w:val="both"/>
              <w:rPr>
                <w:rFonts w:ascii="Noto Sans" w:hAnsi="Noto Sans" w:cs="Noto Sans"/>
              </w:rPr>
            </w:pPr>
            <w:proofErr w:type="spellStart"/>
            <w:r w:rsidRPr="008B59A0">
              <w:rPr>
                <w:rFonts w:ascii="Noto Sans" w:hAnsi="Noto Sans" w:cs="Noto Sans"/>
              </w:rPr>
              <w:t>Biotecnología</w:t>
            </w:r>
            <w:proofErr w:type="spellEnd"/>
            <w:r w:rsidRPr="008B59A0">
              <w:rPr>
                <w:rFonts w:ascii="Noto Sans" w:hAnsi="Noto Sans" w:cs="Noto Sans"/>
              </w:rPr>
              <w:t xml:space="preserve"> Industrial y </w:t>
            </w:r>
            <w:proofErr w:type="spellStart"/>
            <w:r w:rsidRPr="008B59A0">
              <w:rPr>
                <w:rFonts w:ascii="Noto Sans" w:hAnsi="Noto Sans" w:cs="Noto Sans"/>
              </w:rPr>
              <w:t>Procesos</w:t>
            </w:r>
            <w:proofErr w:type="spellEnd"/>
            <w:r w:rsidRPr="008B59A0">
              <w:rPr>
                <w:rFonts w:ascii="Noto Sans" w:hAnsi="Noto Sans" w:cs="Noto Sans"/>
              </w:rPr>
              <w:t xml:space="preserve"> </w:t>
            </w:r>
            <w:proofErr w:type="spellStart"/>
            <w:r w:rsidRPr="008B59A0">
              <w:rPr>
                <w:rFonts w:ascii="Noto Sans" w:hAnsi="Noto Sans" w:cs="Noto Sans"/>
              </w:rPr>
              <w:t>Ambientales</w:t>
            </w:r>
            <w:proofErr w:type="spellEnd"/>
            <w:r w:rsidRPr="008B59A0">
              <w:rPr>
                <w:rFonts w:ascii="Noto Sans" w:hAnsi="Noto Sans" w:cs="Noto Sans"/>
              </w:rPr>
              <w:t>, y</w:t>
            </w:r>
          </w:p>
          <w:p w14:paraId="3309A081" w14:textId="4EA77B0B" w:rsidR="005050FF" w:rsidRPr="008B59A0" w:rsidRDefault="005050FF" w:rsidP="005050FF">
            <w:pPr>
              <w:pStyle w:val="Prrafodelista"/>
              <w:numPr>
                <w:ilvl w:val="0"/>
                <w:numId w:val="9"/>
              </w:numPr>
              <w:jc w:val="both"/>
              <w:rPr>
                <w:rFonts w:ascii="Noto Sans" w:hAnsi="Noto Sans" w:cs="Noto Sans"/>
              </w:rPr>
            </w:pPr>
            <w:proofErr w:type="spellStart"/>
            <w:r w:rsidRPr="008B59A0">
              <w:rPr>
                <w:rFonts w:ascii="Noto Sans" w:hAnsi="Noto Sans" w:cs="Noto Sans"/>
              </w:rPr>
              <w:t>Biotecnología</w:t>
            </w:r>
            <w:proofErr w:type="spellEnd"/>
            <w:r w:rsidRPr="008B59A0">
              <w:rPr>
                <w:rFonts w:ascii="Noto Sans" w:hAnsi="Noto Sans" w:cs="Noto Sans"/>
              </w:rPr>
              <w:t xml:space="preserve"> </w:t>
            </w:r>
            <w:proofErr w:type="spellStart"/>
            <w:r w:rsidRPr="008B59A0">
              <w:rPr>
                <w:rFonts w:ascii="Noto Sans" w:hAnsi="Noto Sans" w:cs="Noto Sans"/>
              </w:rPr>
              <w:t>Aplicada</w:t>
            </w:r>
            <w:proofErr w:type="spellEnd"/>
            <w:r w:rsidRPr="008B59A0">
              <w:rPr>
                <w:rFonts w:ascii="Noto Sans" w:hAnsi="Noto Sans" w:cs="Noto Sans"/>
              </w:rPr>
              <w:t xml:space="preserve"> a la </w:t>
            </w:r>
            <w:proofErr w:type="spellStart"/>
            <w:r w:rsidRPr="008B59A0">
              <w:rPr>
                <w:rFonts w:ascii="Noto Sans" w:hAnsi="Noto Sans" w:cs="Noto Sans"/>
              </w:rPr>
              <w:t>Salud</w:t>
            </w:r>
            <w:proofErr w:type="spellEnd"/>
            <w:r w:rsidRPr="008B59A0">
              <w:rPr>
                <w:rFonts w:ascii="Noto Sans" w:hAnsi="Noto Sans" w:cs="Noto Sans"/>
              </w:rPr>
              <w:t>.</w:t>
            </w:r>
          </w:p>
          <w:p w14:paraId="45FFD33E" w14:textId="0A282E2A" w:rsidR="005050FF" w:rsidRPr="008B59A0" w:rsidRDefault="005050FF" w:rsidP="005050FF">
            <w:pPr>
              <w:jc w:val="both"/>
              <w:rPr>
                <w:rFonts w:ascii="Noto Sans" w:hAnsi="Noto Sans" w:cs="Noto Sans"/>
                <w:sz w:val="20"/>
                <w:szCs w:val="20"/>
              </w:rPr>
            </w:pPr>
            <w:r w:rsidRPr="008B59A0">
              <w:rPr>
                <w:rFonts w:ascii="Noto Sans" w:hAnsi="Noto Sans" w:cs="Noto Sans"/>
                <w:sz w:val="20"/>
                <w:szCs w:val="20"/>
              </w:rPr>
              <w:t>El programa impulsa la formación de investigadoras e investigadores con una sólida base científica y un alto compromiso social, capaces de generar, producir e incorporar nuevos productos y procesos en el ámbito biotecnológico. Su meta principal es proveer conocimientos, metodologías y herramientas innovadoras, que permitan a sus egresadas y egresados incorporarse exitosamente al mercado laboral especializado, contribuyendo a la innovación científica, tecnológica y productiva del país.</w:t>
            </w:r>
          </w:p>
          <w:p w14:paraId="392597E2" w14:textId="39EB5EC0" w:rsidR="005050FF" w:rsidRPr="008B59A0" w:rsidRDefault="005050FF" w:rsidP="005050FF">
            <w:pPr>
              <w:jc w:val="both"/>
              <w:rPr>
                <w:rFonts w:ascii="Noto Sans" w:hAnsi="Noto Sans" w:cs="Noto Sans"/>
                <w:sz w:val="20"/>
                <w:szCs w:val="20"/>
              </w:rPr>
            </w:pPr>
            <w:r w:rsidRPr="008B59A0">
              <w:rPr>
                <w:rFonts w:ascii="Noto Sans" w:hAnsi="Noto Sans" w:cs="Noto Sans"/>
                <w:sz w:val="20"/>
                <w:szCs w:val="20"/>
              </w:rPr>
              <w:lastRenderedPageBreak/>
              <w:t xml:space="preserve">El programa cuenta con un Núcleo Académico B consolidado, integrado por </w:t>
            </w:r>
            <w:r w:rsidR="002C5AD3">
              <w:rPr>
                <w:rFonts w:ascii="Noto Sans" w:hAnsi="Noto Sans" w:cs="Noto Sans"/>
                <w:color w:val="000000" w:themeColor="text1"/>
                <w:sz w:val="20"/>
                <w:szCs w:val="20"/>
              </w:rPr>
              <w:t>52</w:t>
            </w:r>
            <w:r w:rsidRPr="002C5AD3">
              <w:rPr>
                <w:rFonts w:ascii="Noto Sans" w:hAnsi="Noto Sans" w:cs="Noto Sans"/>
                <w:color w:val="000000" w:themeColor="text1"/>
                <w:sz w:val="20"/>
                <w:szCs w:val="20"/>
              </w:rPr>
              <w:t xml:space="preserve"> investigadores, de los cuales el </w:t>
            </w:r>
            <w:r w:rsidR="002C5AD3">
              <w:rPr>
                <w:rFonts w:ascii="Noto Sans" w:hAnsi="Noto Sans" w:cs="Noto Sans"/>
                <w:color w:val="000000" w:themeColor="text1"/>
                <w:sz w:val="20"/>
                <w:szCs w:val="20"/>
              </w:rPr>
              <w:t>99</w:t>
            </w:r>
            <w:r w:rsidRPr="002C5AD3">
              <w:rPr>
                <w:rFonts w:ascii="Noto Sans" w:hAnsi="Noto Sans" w:cs="Noto Sans"/>
                <w:color w:val="000000" w:themeColor="text1"/>
                <w:sz w:val="20"/>
                <w:szCs w:val="20"/>
              </w:rPr>
              <w:t xml:space="preserve">% pertenece al Sistema Nacional de Investigadoras e Investigadores (SNII), y el </w:t>
            </w:r>
            <w:r w:rsidR="002C5AD3">
              <w:rPr>
                <w:rFonts w:ascii="Noto Sans" w:hAnsi="Noto Sans" w:cs="Noto Sans"/>
                <w:color w:val="000000" w:themeColor="text1"/>
                <w:sz w:val="20"/>
                <w:szCs w:val="20"/>
              </w:rPr>
              <w:t>50</w:t>
            </w:r>
            <w:r w:rsidRPr="002C5AD3">
              <w:rPr>
                <w:rFonts w:ascii="Noto Sans" w:hAnsi="Noto Sans" w:cs="Noto Sans"/>
                <w:color w:val="000000" w:themeColor="text1"/>
                <w:sz w:val="20"/>
                <w:szCs w:val="20"/>
              </w:rPr>
              <w:t>% se encuentra en los niveles II y III, lo que garantiza un alto nivel de calidad académica y de producción científica.</w:t>
            </w:r>
          </w:p>
          <w:p w14:paraId="41BEB0F3" w14:textId="17343DC3" w:rsidR="005050FF" w:rsidRPr="008B59A0" w:rsidRDefault="005050FF" w:rsidP="005050FF">
            <w:pPr>
              <w:jc w:val="both"/>
              <w:rPr>
                <w:rFonts w:ascii="Noto Sans" w:hAnsi="Noto Sans" w:cs="Noto Sans"/>
                <w:sz w:val="20"/>
                <w:szCs w:val="20"/>
              </w:rPr>
            </w:pPr>
            <w:r w:rsidRPr="008B59A0">
              <w:rPr>
                <w:rFonts w:ascii="Noto Sans" w:hAnsi="Noto Sans" w:cs="Noto Sans"/>
                <w:sz w:val="20"/>
                <w:szCs w:val="20"/>
              </w:rPr>
              <w:t>Las y los estudiantes participan activamente en proyectos de investigación en curso, lo que fortalece sus competencias técnicas y de investigación. Actualmente, se encuentran adscritos a proyectos de Programas Nacionales Estratégicos (PRONACES), Ciencia de Frontera, así como proyectos financiados por el Gobierno estatal y por el sector empresarial, lo cual fomenta la vinculación entre la academia, la industria y la sociedad.</w:t>
            </w:r>
          </w:p>
          <w:p w14:paraId="02BA1472" w14:textId="51C63993" w:rsidR="005050FF" w:rsidRPr="008B59A0" w:rsidRDefault="005050FF" w:rsidP="005050FF">
            <w:pPr>
              <w:jc w:val="both"/>
              <w:rPr>
                <w:rFonts w:ascii="Noto Sans" w:hAnsi="Noto Sans" w:cs="Noto Sans"/>
                <w:sz w:val="20"/>
                <w:szCs w:val="20"/>
              </w:rPr>
            </w:pPr>
            <w:r w:rsidRPr="008B59A0">
              <w:rPr>
                <w:rFonts w:ascii="Noto Sans" w:hAnsi="Noto Sans" w:cs="Noto Sans"/>
                <w:sz w:val="20"/>
                <w:szCs w:val="20"/>
              </w:rPr>
              <w:t xml:space="preserve">Durante sus 10 años de existencia, el programa ha </w:t>
            </w:r>
            <w:r w:rsidRPr="002C5AD3">
              <w:rPr>
                <w:rFonts w:ascii="Noto Sans" w:hAnsi="Noto Sans" w:cs="Noto Sans"/>
                <w:sz w:val="20"/>
                <w:szCs w:val="20"/>
              </w:rPr>
              <w:t xml:space="preserve">inscrito a </w:t>
            </w:r>
            <w:r w:rsidR="002C5AD3" w:rsidRPr="002C5AD3">
              <w:rPr>
                <w:rFonts w:ascii="Noto Sans" w:hAnsi="Noto Sans" w:cs="Noto Sans"/>
                <w:sz w:val="20"/>
                <w:szCs w:val="20"/>
              </w:rPr>
              <w:t>172</w:t>
            </w:r>
            <w:r w:rsidRPr="002C5AD3">
              <w:rPr>
                <w:rFonts w:ascii="Noto Sans" w:hAnsi="Noto Sans" w:cs="Noto Sans"/>
                <w:sz w:val="20"/>
                <w:szCs w:val="20"/>
              </w:rPr>
              <w:t xml:space="preserve"> estudiantes, de los cuales </w:t>
            </w:r>
            <w:r w:rsidR="002C5AD3" w:rsidRPr="002C5AD3">
              <w:rPr>
                <w:rFonts w:ascii="Noto Sans" w:hAnsi="Noto Sans" w:cs="Noto Sans"/>
                <w:sz w:val="20"/>
                <w:szCs w:val="20"/>
              </w:rPr>
              <w:t>87</w:t>
            </w:r>
            <w:r w:rsidRPr="002C5AD3">
              <w:rPr>
                <w:rFonts w:ascii="Noto Sans" w:hAnsi="Noto Sans" w:cs="Noto Sans"/>
                <w:sz w:val="20"/>
                <w:szCs w:val="20"/>
              </w:rPr>
              <w:t xml:space="preserve"> han obtenido el grado de Doctorado en Ciencias en Innovación Biotecnológica. De estos egresados, 2</w:t>
            </w:r>
            <w:r w:rsidR="00060D94">
              <w:rPr>
                <w:rFonts w:ascii="Noto Sans" w:hAnsi="Noto Sans" w:cs="Noto Sans"/>
                <w:sz w:val="20"/>
                <w:szCs w:val="20"/>
              </w:rPr>
              <w:t>7</w:t>
            </w:r>
            <w:r w:rsidRPr="002C5AD3">
              <w:rPr>
                <w:rFonts w:ascii="Noto Sans" w:hAnsi="Noto Sans" w:cs="Noto Sans"/>
                <w:sz w:val="20"/>
                <w:szCs w:val="20"/>
              </w:rPr>
              <w:t xml:space="preserve"> forman parte del Sistema Nacional de Investigadores e Investigadoras (SNII). Este</w:t>
            </w:r>
            <w:r w:rsidRPr="008B59A0">
              <w:rPr>
                <w:rFonts w:ascii="Noto Sans" w:hAnsi="Noto Sans" w:cs="Noto Sans"/>
                <w:sz w:val="20"/>
                <w:szCs w:val="20"/>
              </w:rPr>
              <w:t xml:space="preserve"> logro se atribuye, en gran medida, al alto nivel de exigencia académica, ya que uno de los requisitos de egreso es contar con al menos dos publicaciones científicas como condición para la defensa de tesis.</w:t>
            </w:r>
          </w:p>
          <w:p w14:paraId="2C002159" w14:textId="37AF0852" w:rsidR="00E5146D" w:rsidRPr="008B59A0" w:rsidRDefault="005050FF" w:rsidP="005050FF">
            <w:pPr>
              <w:pStyle w:val="Default"/>
              <w:rPr>
                <w:bCs/>
                <w:sz w:val="20"/>
                <w:szCs w:val="20"/>
              </w:rPr>
            </w:pPr>
            <w:r w:rsidRPr="008B59A0">
              <w:rPr>
                <w:sz w:val="20"/>
                <w:szCs w:val="20"/>
              </w:rPr>
              <w:t>Además de su contribución científica, los proyectos desarrollados en el marco del doctorado tienen un impacto social y tecnológico directo, al centrarse en investigación aplicada orientada a la solución de problemas específicos en los sectores agroalimentario, ambiental, industrial y de salud. De esta manera, el programa fortalece la vinculación entre la ciencia, la tecnología y las necesidades de la sociedad mexicana, contribuyendo al bienestar social y al desarrollo sostenible del país.</w:t>
            </w:r>
          </w:p>
        </w:tc>
      </w:tr>
      <w:tr w:rsidR="00E5146D" w14:paraId="2A58F655" w14:textId="77777777" w:rsidTr="00E5146D">
        <w:trPr>
          <w:trHeight w:val="244"/>
        </w:trPr>
        <w:tc>
          <w:tcPr>
            <w:tcW w:w="4865" w:type="dxa"/>
          </w:tcPr>
          <w:p w14:paraId="159337AF" w14:textId="77777777" w:rsidR="00E5146D" w:rsidRPr="00A90517" w:rsidRDefault="00E5146D">
            <w:pPr>
              <w:pStyle w:val="Default"/>
              <w:rPr>
                <w:sz w:val="20"/>
                <w:szCs w:val="20"/>
              </w:rPr>
            </w:pPr>
            <w:r w:rsidRPr="00A90517">
              <w:rPr>
                <w:b/>
                <w:bCs/>
                <w:sz w:val="20"/>
                <w:szCs w:val="20"/>
              </w:rPr>
              <w:lastRenderedPageBreak/>
              <w:t xml:space="preserve">Actores de la sociedad con </w:t>
            </w:r>
          </w:p>
          <w:p w14:paraId="4BCBE940" w14:textId="77777777" w:rsidR="00E5146D" w:rsidRPr="00A90517" w:rsidRDefault="00E5146D">
            <w:pPr>
              <w:pStyle w:val="Default"/>
              <w:rPr>
                <w:sz w:val="20"/>
                <w:szCs w:val="20"/>
              </w:rPr>
            </w:pPr>
            <w:r w:rsidRPr="00A90517">
              <w:rPr>
                <w:b/>
                <w:bCs/>
                <w:sz w:val="20"/>
                <w:szCs w:val="20"/>
              </w:rPr>
              <w:t xml:space="preserve">los que colabora el programa </w:t>
            </w:r>
          </w:p>
        </w:tc>
        <w:tc>
          <w:tcPr>
            <w:tcW w:w="4865" w:type="dxa"/>
          </w:tcPr>
          <w:p w14:paraId="01BC9999" w14:textId="30079414" w:rsidR="005050FF" w:rsidRPr="008B59A0" w:rsidRDefault="005050FF" w:rsidP="005050FF">
            <w:pPr>
              <w:pStyle w:val="Default"/>
              <w:rPr>
                <w:sz w:val="20"/>
                <w:szCs w:val="20"/>
              </w:rPr>
            </w:pPr>
            <w:r w:rsidRPr="008B59A0">
              <w:rPr>
                <w:sz w:val="20"/>
                <w:szCs w:val="20"/>
              </w:rPr>
              <w:t xml:space="preserve">El programa mantiene una amplia colaboración con diversos actores académicos, institucionales, gubernamentales y del sector productivo, derivada de los proyectos de investigación en los </w:t>
            </w:r>
            <w:r w:rsidRPr="008B59A0">
              <w:rPr>
                <w:sz w:val="20"/>
                <w:szCs w:val="20"/>
              </w:rPr>
              <w:lastRenderedPageBreak/>
              <w:t>que participan las y los estudiantes con inscripción vigente.</w:t>
            </w:r>
          </w:p>
          <w:p w14:paraId="008E1F09" w14:textId="37909BEF" w:rsidR="005050FF" w:rsidRPr="008B59A0" w:rsidRDefault="005050FF" w:rsidP="005050FF">
            <w:pPr>
              <w:pStyle w:val="Default"/>
              <w:rPr>
                <w:sz w:val="20"/>
                <w:szCs w:val="20"/>
              </w:rPr>
            </w:pPr>
            <w:r w:rsidRPr="008B59A0">
              <w:rPr>
                <w:sz w:val="20"/>
                <w:szCs w:val="20"/>
              </w:rPr>
              <w:t>Estos proyectos son financiados por distintas fuentes, entre las que destacan la SECIHTI, a través de sus convocatorias de Ciencia básica y de Frontera y Programas Nacionales Estratégicos (PRONACES); las Secretarías de Salud y de Agricultura y Desarrollo Rural (SAGARPA); los gobiernos estatales, fondos internacionales y empresas privadas.</w:t>
            </w:r>
          </w:p>
          <w:p w14:paraId="68C00A53" w14:textId="6749481A" w:rsidR="00E5146D" w:rsidRPr="008B59A0" w:rsidRDefault="005050FF" w:rsidP="005050FF">
            <w:pPr>
              <w:pStyle w:val="Default"/>
              <w:rPr>
                <w:sz w:val="20"/>
                <w:szCs w:val="20"/>
              </w:rPr>
            </w:pPr>
            <w:r w:rsidRPr="008B59A0">
              <w:rPr>
                <w:sz w:val="20"/>
                <w:szCs w:val="20"/>
              </w:rPr>
              <w:t>Asimismo, el programa fortalece su vinculación académica mediante la colaboración con Universidades e Instituciones de Educación Superior (IES), integrando profesoras y profesores externos a los comités tutoriales de las y los estudiantes, así como de las y los graduados del programa. Esta interacción contribuye al intercambio de conocimientos, la diversificación de perspectivas científicas y la consolidación de redes académicas y de investigación a nivel nacional e internacional.</w:t>
            </w:r>
          </w:p>
        </w:tc>
      </w:tr>
    </w:tbl>
    <w:p w14:paraId="17181664" w14:textId="5105C664" w:rsidR="00D055F5" w:rsidRDefault="00D055F5" w:rsidP="00582E02"/>
    <w:p w14:paraId="0541353B" w14:textId="4AD50BF3" w:rsidR="00672837" w:rsidRPr="009815E0" w:rsidRDefault="00672837" w:rsidP="00672837">
      <w:pPr>
        <w:jc w:val="both"/>
        <w:rPr>
          <w:rFonts w:ascii="Segoe UI" w:hAnsi="Segoe UI" w:cs="Segoe UI"/>
          <w:bCs/>
        </w:rPr>
      </w:pPr>
      <w:r w:rsidRPr="009815E0">
        <w:rPr>
          <w:rFonts w:ascii="Segoe UI" w:hAnsi="Segoe UI" w:cs="Segoe UI"/>
          <w:bCs/>
        </w:rPr>
        <w:t>Sin más por el momento, me despido de usted esperando su respuesta</w:t>
      </w:r>
      <w:r>
        <w:rPr>
          <w:rFonts w:ascii="Segoe UI" w:hAnsi="Segoe UI" w:cs="Segoe UI"/>
          <w:bCs/>
        </w:rPr>
        <w:t xml:space="preserve"> sea </w:t>
      </w:r>
      <w:r w:rsidRPr="009815E0">
        <w:rPr>
          <w:rFonts w:ascii="Segoe UI" w:hAnsi="Segoe UI" w:cs="Segoe UI"/>
          <w:bCs/>
        </w:rPr>
        <w:t>afirmativa ante nuestra postulación de</w:t>
      </w:r>
      <w:r>
        <w:rPr>
          <w:rFonts w:ascii="Segoe UI" w:hAnsi="Segoe UI" w:cs="Segoe UI"/>
          <w:bCs/>
        </w:rPr>
        <w:t>l programa de Doctorado.</w:t>
      </w:r>
    </w:p>
    <w:p w14:paraId="31A3D341" w14:textId="6C9C4F2B" w:rsidR="00672837" w:rsidRDefault="00672837" w:rsidP="00672837">
      <w:pPr>
        <w:rPr>
          <w:rFonts w:ascii="Segoe UI" w:hAnsi="Segoe UI" w:cs="Segoe UI"/>
          <w:bCs/>
        </w:rPr>
      </w:pPr>
    </w:p>
    <w:p w14:paraId="43961131" w14:textId="77777777" w:rsidR="00A90517" w:rsidRPr="009815E0" w:rsidRDefault="00A90517" w:rsidP="00672837">
      <w:pPr>
        <w:rPr>
          <w:rFonts w:ascii="Segoe UI" w:hAnsi="Segoe UI" w:cs="Segoe UI"/>
          <w:bCs/>
        </w:rPr>
      </w:pPr>
    </w:p>
    <w:p w14:paraId="74EC2EA4" w14:textId="77777777" w:rsidR="00672837" w:rsidRPr="009815E0" w:rsidRDefault="00672837" w:rsidP="00672837">
      <w:pPr>
        <w:jc w:val="center"/>
        <w:rPr>
          <w:rFonts w:ascii="Segoe UI" w:hAnsi="Segoe UI" w:cs="Segoe UI"/>
          <w:bCs/>
        </w:rPr>
      </w:pPr>
      <w:r w:rsidRPr="009815E0">
        <w:rPr>
          <w:rFonts w:ascii="Segoe UI" w:hAnsi="Segoe UI" w:cs="Segoe UI"/>
          <w:bCs/>
        </w:rPr>
        <w:t>Atentamente</w:t>
      </w:r>
    </w:p>
    <w:p w14:paraId="23C6351A" w14:textId="77777777" w:rsidR="00672837" w:rsidRPr="009815E0" w:rsidRDefault="00672837" w:rsidP="00672837">
      <w:pPr>
        <w:rPr>
          <w:rFonts w:ascii="Segoe UI" w:hAnsi="Segoe UI" w:cs="Segoe UI"/>
          <w:bCs/>
        </w:rPr>
      </w:pPr>
    </w:p>
    <w:p w14:paraId="05EFF31A" w14:textId="77777777" w:rsidR="00672837" w:rsidRPr="009815E0" w:rsidRDefault="00672837" w:rsidP="00672837">
      <w:pPr>
        <w:jc w:val="center"/>
        <w:rPr>
          <w:rFonts w:ascii="Segoe UI" w:hAnsi="Segoe UI" w:cs="Segoe UI"/>
          <w:bCs/>
        </w:rPr>
      </w:pPr>
    </w:p>
    <w:p w14:paraId="614DD8F3" w14:textId="77777777" w:rsidR="00672837" w:rsidRPr="009815E0" w:rsidRDefault="00672837" w:rsidP="00672837">
      <w:pPr>
        <w:jc w:val="center"/>
        <w:rPr>
          <w:rFonts w:ascii="Segoe UI" w:hAnsi="Segoe UI" w:cs="Segoe UI"/>
          <w:bCs/>
        </w:rPr>
      </w:pPr>
      <w:r w:rsidRPr="009815E0">
        <w:rPr>
          <w:rFonts w:ascii="Segoe UI" w:hAnsi="Segoe UI" w:cs="Segoe UI"/>
          <w:bCs/>
        </w:rPr>
        <w:t>_____________</w:t>
      </w:r>
      <w:r>
        <w:rPr>
          <w:rFonts w:ascii="Segoe UI" w:hAnsi="Segoe UI" w:cs="Segoe UI"/>
          <w:bCs/>
        </w:rPr>
        <w:t>______________________</w:t>
      </w:r>
      <w:r w:rsidRPr="009815E0">
        <w:rPr>
          <w:rFonts w:ascii="Segoe UI" w:hAnsi="Segoe UI" w:cs="Segoe UI"/>
          <w:bCs/>
        </w:rPr>
        <w:t>_____________</w:t>
      </w:r>
    </w:p>
    <w:p w14:paraId="0288DE70" w14:textId="77777777" w:rsidR="00672837" w:rsidRPr="009815E0" w:rsidRDefault="00672837" w:rsidP="00672837">
      <w:pPr>
        <w:jc w:val="center"/>
        <w:rPr>
          <w:rFonts w:ascii="Segoe UI" w:hAnsi="Segoe UI" w:cs="Segoe UI"/>
          <w:bCs/>
        </w:rPr>
      </w:pPr>
      <w:r w:rsidRPr="009815E0">
        <w:rPr>
          <w:rFonts w:ascii="Segoe UI" w:hAnsi="Segoe UI" w:cs="Segoe UI"/>
          <w:bCs/>
        </w:rPr>
        <w:t xml:space="preserve">Dra. </w:t>
      </w:r>
      <w:r>
        <w:rPr>
          <w:rFonts w:ascii="Segoe UI" w:hAnsi="Segoe UI" w:cs="Segoe UI"/>
          <w:bCs/>
        </w:rPr>
        <w:t>Lorena Amaya Delgado</w:t>
      </w:r>
    </w:p>
    <w:p w14:paraId="57CA2157" w14:textId="77777777" w:rsidR="00672837" w:rsidRPr="00111219" w:rsidRDefault="00672837" w:rsidP="00672837">
      <w:pPr>
        <w:jc w:val="center"/>
        <w:rPr>
          <w:rFonts w:ascii="Segoe UI" w:hAnsi="Segoe UI" w:cs="Segoe UI"/>
          <w:bCs/>
        </w:rPr>
      </w:pPr>
      <w:r w:rsidRPr="009815E0">
        <w:rPr>
          <w:rFonts w:ascii="Segoe UI" w:hAnsi="Segoe UI" w:cs="Segoe UI"/>
          <w:bCs/>
        </w:rPr>
        <w:t>Directora General</w:t>
      </w:r>
      <w:r>
        <w:rPr>
          <w:rFonts w:ascii="Segoe UI" w:hAnsi="Segoe UI" w:cs="Segoe UI"/>
          <w:bCs/>
        </w:rPr>
        <w:t xml:space="preserve"> Interina</w:t>
      </w:r>
      <w:r>
        <w:rPr>
          <w:rFonts w:ascii="Segoe UI" w:hAnsi="Segoe UI" w:cs="Segoe UI"/>
          <w:bCs/>
        </w:rPr>
        <w:br/>
      </w:r>
      <w:r w:rsidRPr="009815E0">
        <w:rPr>
          <w:rFonts w:ascii="Segoe UI" w:hAnsi="Segoe UI" w:cs="Segoe UI"/>
          <w:bCs/>
        </w:rPr>
        <w:t xml:space="preserve"> CIATEJ</w:t>
      </w:r>
    </w:p>
    <w:p w14:paraId="6598CB22" w14:textId="77777777" w:rsidR="00672837" w:rsidRPr="00582E02" w:rsidRDefault="00672837" w:rsidP="00582E02"/>
    <w:bookmarkEnd w:id="0"/>
    <w:sectPr w:rsidR="00672837" w:rsidRPr="00582E02"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6587" w14:textId="77777777" w:rsidR="00BF68B8" w:rsidRDefault="00BF68B8" w:rsidP="00A73D65">
      <w:r>
        <w:separator/>
      </w:r>
    </w:p>
  </w:endnote>
  <w:endnote w:type="continuationSeparator" w:id="0">
    <w:p w14:paraId="5F41A75E" w14:textId="77777777" w:rsidR="00BF68B8" w:rsidRDefault="00BF68B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2FF2" w14:textId="77777777" w:rsidR="00BF68B8" w:rsidRDefault="00BF68B8" w:rsidP="00A73D65">
      <w:r>
        <w:separator/>
      </w:r>
    </w:p>
  </w:footnote>
  <w:footnote w:type="continuationSeparator" w:id="0">
    <w:p w14:paraId="6B29E208" w14:textId="77777777" w:rsidR="00BF68B8" w:rsidRDefault="00BF68B8"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205BAE"/>
    <w:multiLevelType w:val="hybridMultilevel"/>
    <w:tmpl w:val="F17CD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1BA600E"/>
    <w:multiLevelType w:val="hybridMultilevel"/>
    <w:tmpl w:val="862CA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8"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4"/>
  </w:num>
  <w:num w:numId="6">
    <w:abstractNumId w:val="0"/>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D94"/>
    <w:rsid w:val="00060F0A"/>
    <w:rsid w:val="000701F9"/>
    <w:rsid w:val="00156A3E"/>
    <w:rsid w:val="00161740"/>
    <w:rsid w:val="00180A38"/>
    <w:rsid w:val="00184325"/>
    <w:rsid w:val="00245F66"/>
    <w:rsid w:val="00256B1D"/>
    <w:rsid w:val="002871E1"/>
    <w:rsid w:val="00287588"/>
    <w:rsid w:val="0029542D"/>
    <w:rsid w:val="002C293A"/>
    <w:rsid w:val="002C5AD3"/>
    <w:rsid w:val="002D60F5"/>
    <w:rsid w:val="002E2142"/>
    <w:rsid w:val="002E2B5E"/>
    <w:rsid w:val="0030476A"/>
    <w:rsid w:val="00324431"/>
    <w:rsid w:val="003542BA"/>
    <w:rsid w:val="00363222"/>
    <w:rsid w:val="00370465"/>
    <w:rsid w:val="003D416E"/>
    <w:rsid w:val="003E1335"/>
    <w:rsid w:val="003F49A8"/>
    <w:rsid w:val="004027DE"/>
    <w:rsid w:val="004543B0"/>
    <w:rsid w:val="00454479"/>
    <w:rsid w:val="00476659"/>
    <w:rsid w:val="00477F45"/>
    <w:rsid w:val="004A4C4E"/>
    <w:rsid w:val="004B07B0"/>
    <w:rsid w:val="004D146C"/>
    <w:rsid w:val="004E5574"/>
    <w:rsid w:val="005050FF"/>
    <w:rsid w:val="00582E02"/>
    <w:rsid w:val="005A1743"/>
    <w:rsid w:val="005C1A7C"/>
    <w:rsid w:val="005D14D4"/>
    <w:rsid w:val="005F3347"/>
    <w:rsid w:val="00626EE3"/>
    <w:rsid w:val="00631824"/>
    <w:rsid w:val="006322C1"/>
    <w:rsid w:val="0066676F"/>
    <w:rsid w:val="0067208B"/>
    <w:rsid w:val="00672837"/>
    <w:rsid w:val="00681882"/>
    <w:rsid w:val="006A0DFE"/>
    <w:rsid w:val="006C0425"/>
    <w:rsid w:val="006C3B4E"/>
    <w:rsid w:val="00714C0D"/>
    <w:rsid w:val="00733712"/>
    <w:rsid w:val="007421E3"/>
    <w:rsid w:val="00762CB9"/>
    <w:rsid w:val="007738F7"/>
    <w:rsid w:val="0078195E"/>
    <w:rsid w:val="007B09D7"/>
    <w:rsid w:val="007B74AD"/>
    <w:rsid w:val="007D77D1"/>
    <w:rsid w:val="007E184A"/>
    <w:rsid w:val="007E5888"/>
    <w:rsid w:val="00831EE7"/>
    <w:rsid w:val="00834146"/>
    <w:rsid w:val="00847993"/>
    <w:rsid w:val="008B59A0"/>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90517"/>
    <w:rsid w:val="00A9662E"/>
    <w:rsid w:val="00AB125D"/>
    <w:rsid w:val="00B21938"/>
    <w:rsid w:val="00B541BC"/>
    <w:rsid w:val="00B67AB0"/>
    <w:rsid w:val="00B72D65"/>
    <w:rsid w:val="00B87C85"/>
    <w:rsid w:val="00BB21A6"/>
    <w:rsid w:val="00BB2DFF"/>
    <w:rsid w:val="00BC3E74"/>
    <w:rsid w:val="00BC43BD"/>
    <w:rsid w:val="00BC51E0"/>
    <w:rsid w:val="00BF379D"/>
    <w:rsid w:val="00BF68B8"/>
    <w:rsid w:val="00C02E98"/>
    <w:rsid w:val="00C1416F"/>
    <w:rsid w:val="00C23B9E"/>
    <w:rsid w:val="00C279A3"/>
    <w:rsid w:val="00C30849"/>
    <w:rsid w:val="00C465FE"/>
    <w:rsid w:val="00C62870"/>
    <w:rsid w:val="00C67047"/>
    <w:rsid w:val="00C67BF6"/>
    <w:rsid w:val="00C80084"/>
    <w:rsid w:val="00C90CED"/>
    <w:rsid w:val="00C9796D"/>
    <w:rsid w:val="00CB7D4F"/>
    <w:rsid w:val="00CE2746"/>
    <w:rsid w:val="00CE3E99"/>
    <w:rsid w:val="00CF3975"/>
    <w:rsid w:val="00D012BD"/>
    <w:rsid w:val="00D055F5"/>
    <w:rsid w:val="00D1354D"/>
    <w:rsid w:val="00D30C72"/>
    <w:rsid w:val="00D84E05"/>
    <w:rsid w:val="00DB53A4"/>
    <w:rsid w:val="00DC18FA"/>
    <w:rsid w:val="00DE3FEC"/>
    <w:rsid w:val="00E155A4"/>
    <w:rsid w:val="00E5146D"/>
    <w:rsid w:val="00E809E4"/>
    <w:rsid w:val="00E93867"/>
    <w:rsid w:val="00EA423B"/>
    <w:rsid w:val="00EB407F"/>
    <w:rsid w:val="00EE053F"/>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2012">
      <w:bodyDiv w:val="1"/>
      <w:marLeft w:val="0"/>
      <w:marRight w:val="0"/>
      <w:marTop w:val="0"/>
      <w:marBottom w:val="0"/>
      <w:divBdr>
        <w:top w:val="none" w:sz="0" w:space="0" w:color="auto"/>
        <w:left w:val="none" w:sz="0" w:space="0" w:color="auto"/>
        <w:bottom w:val="none" w:sz="0" w:space="0" w:color="auto"/>
        <w:right w:val="none" w:sz="0" w:space="0" w:color="auto"/>
      </w:divBdr>
    </w:div>
    <w:div w:id="45810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1012</Words>
  <Characters>5566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12</cp:revision>
  <dcterms:created xsi:type="dcterms:W3CDTF">2025-10-21T14:16:00Z</dcterms:created>
  <dcterms:modified xsi:type="dcterms:W3CDTF">2025-11-05T18:17:00Z</dcterms:modified>
</cp:coreProperties>
</file>